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91051" w14:textId="77777777" w:rsidR="00CF3BFF" w:rsidRPr="00D57543" w:rsidRDefault="00CF3BFF" w:rsidP="00CF3BFF">
      <w:pPr>
        <w:shd w:val="clear" w:color="auto" w:fill="FFFFFF"/>
        <w:spacing w:after="0" w:line="360" w:lineRule="auto"/>
        <w:jc w:val="center"/>
        <w:rPr>
          <w:rFonts w:ascii="Arial" w:eastAsia="Times New Roman" w:hAnsi="Arial" w:cs="Arial"/>
          <w:b/>
          <w:bCs/>
          <w:color w:val="212121"/>
          <w:u w:val="single"/>
          <w:lang w:eastAsia="es-ES" w:bidi="es-ES"/>
        </w:rPr>
      </w:pPr>
      <w:r w:rsidRPr="00D57543">
        <w:rPr>
          <w:rFonts w:ascii="Arial" w:eastAsia="Times New Roman" w:hAnsi="Arial" w:cs="Arial"/>
          <w:b/>
          <w:bCs/>
          <w:color w:val="212121"/>
          <w:u w:val="single"/>
          <w:lang w:eastAsia="es-ES" w:bidi="es-ES"/>
        </w:rPr>
        <w:t>A LA MESA DEL CONGRESO DE LOS DIPUTADOS</w:t>
      </w:r>
    </w:p>
    <w:p w14:paraId="4953DD26" w14:textId="77777777" w:rsidR="00CF3BFF" w:rsidRPr="00D57543" w:rsidRDefault="00CF3BFF" w:rsidP="00CF3BFF">
      <w:pPr>
        <w:shd w:val="clear" w:color="auto" w:fill="FFFFFF"/>
        <w:spacing w:after="0" w:line="360" w:lineRule="auto"/>
        <w:jc w:val="both"/>
        <w:rPr>
          <w:rFonts w:ascii="Arial" w:eastAsia="Times New Roman" w:hAnsi="Arial" w:cs="Arial"/>
          <w:b/>
          <w:bCs/>
          <w:color w:val="212121"/>
          <w:lang w:eastAsia="es-ES" w:bidi="es-ES"/>
        </w:rPr>
      </w:pPr>
    </w:p>
    <w:p w14:paraId="3157DFF6" w14:textId="265879A9" w:rsidR="00CF3BFF" w:rsidRPr="00D57543" w:rsidRDefault="00CF3BFF" w:rsidP="00CF3BFF">
      <w:pPr>
        <w:shd w:val="clear" w:color="auto" w:fill="FFFFFF"/>
        <w:spacing w:after="0" w:line="360" w:lineRule="auto"/>
        <w:ind w:firstLine="708"/>
        <w:jc w:val="both"/>
        <w:rPr>
          <w:rFonts w:ascii="Arial" w:eastAsia="Times New Roman" w:hAnsi="Arial" w:cs="Arial"/>
          <w:b/>
          <w:bCs/>
          <w:iCs/>
          <w:color w:val="212121"/>
          <w:lang w:eastAsia="es-ES" w:bidi="es-ES"/>
        </w:rPr>
      </w:pPr>
      <w:r>
        <w:rPr>
          <w:rFonts w:ascii="Arial" w:eastAsia="Times New Roman" w:hAnsi="Arial" w:cs="Arial"/>
          <w:color w:val="212121"/>
          <w:lang w:eastAsia="es-ES" w:bidi="es-ES"/>
        </w:rPr>
        <w:t>Los Grupos Parlamentarios firmantes</w:t>
      </w:r>
      <w:r w:rsidRPr="00D57543">
        <w:rPr>
          <w:rFonts w:ascii="Arial" w:eastAsia="Times New Roman" w:hAnsi="Arial" w:cs="Arial"/>
          <w:color w:val="212121"/>
          <w:lang w:eastAsia="es-ES" w:bidi="es-ES"/>
        </w:rPr>
        <w:t xml:space="preserve">, </w:t>
      </w:r>
      <w:r>
        <w:rPr>
          <w:rFonts w:ascii="Arial" w:eastAsia="Times New Roman" w:hAnsi="Arial" w:cs="Arial"/>
          <w:color w:val="212121"/>
          <w:lang w:eastAsia="es-ES" w:bidi="es-ES"/>
        </w:rPr>
        <w:t>se dirigen a esa</w:t>
      </w:r>
      <w:r w:rsidRPr="00D57543">
        <w:rPr>
          <w:rFonts w:ascii="Arial" w:eastAsia="Times New Roman" w:hAnsi="Arial" w:cs="Arial"/>
          <w:color w:val="212121"/>
          <w:lang w:eastAsia="es-ES" w:bidi="es-ES"/>
        </w:rPr>
        <w:t xml:space="preserve"> Mesa para, al amparo de lo establecido en el artículo 124 y siguientes del vigente Reglamento de la Cámara, presentar la siguiente </w:t>
      </w:r>
      <w:r w:rsidR="002C7583" w:rsidRPr="002C7583">
        <w:rPr>
          <w:rFonts w:ascii="Arial" w:eastAsia="Times New Roman" w:hAnsi="Arial" w:cs="Arial"/>
          <w:b/>
          <w:bCs/>
          <w:color w:val="212121"/>
          <w:lang w:eastAsia="es-ES" w:bidi="es-ES"/>
        </w:rPr>
        <w:t>PROPOSICIÓN DE LEY ORGÁNICA DE TRANSPOSICIÓN DE DIRECTIVAS EUROPEAS Y OTRAS DISPOSICIONES PARA LA ADAPTACIÓN DE LA LEGISLACIÓN PENAL AL ORDENAMIENTO DE LA UNIÓN EUROPEA, Y REFORMA DE LOS DELITOS CONTRA LA INTEGRIDAD MORAL, DESÓRDENES PÚBLICOS Y CONTRABANDO DE ARMAS DE DOBLE USO.</w:t>
      </w:r>
    </w:p>
    <w:p w14:paraId="13379C17" w14:textId="77777777" w:rsidR="00CF3BFF" w:rsidRPr="00D57543" w:rsidRDefault="00CF3BFF" w:rsidP="00CF3BFF">
      <w:pPr>
        <w:shd w:val="clear" w:color="auto" w:fill="FFFFFF"/>
        <w:spacing w:after="0" w:line="360" w:lineRule="auto"/>
        <w:jc w:val="both"/>
        <w:rPr>
          <w:rFonts w:ascii="Arial" w:eastAsia="Times New Roman" w:hAnsi="Arial" w:cs="Arial"/>
          <w:bCs/>
          <w:iCs/>
          <w:color w:val="212121"/>
          <w:lang w:eastAsia="es-ES" w:bidi="es-ES"/>
        </w:rPr>
      </w:pPr>
    </w:p>
    <w:p w14:paraId="576BC8EA" w14:textId="77777777" w:rsidR="00CF3BFF" w:rsidRPr="00986B73" w:rsidRDefault="00CF3BFF" w:rsidP="00CF3BFF">
      <w:pPr>
        <w:shd w:val="clear" w:color="auto" w:fill="FFFFFF"/>
        <w:spacing w:after="0" w:line="360" w:lineRule="auto"/>
        <w:jc w:val="both"/>
        <w:rPr>
          <w:rFonts w:ascii="Arial" w:hAnsi="Arial" w:cs="Arial"/>
        </w:rPr>
      </w:pPr>
      <w:r>
        <w:rPr>
          <w:rFonts w:ascii="Arial" w:eastAsia="Times New Roman" w:hAnsi="Arial" w:cs="Arial"/>
          <w:color w:val="212121"/>
          <w:lang w:eastAsia="es-ES" w:bidi="es-ES"/>
        </w:rPr>
        <w:tab/>
        <w:t xml:space="preserve">Así mismo, </w:t>
      </w:r>
      <w:r w:rsidRPr="00986B73">
        <w:rPr>
          <w:rFonts w:ascii="Arial" w:hAnsi="Arial" w:cs="Arial"/>
        </w:rPr>
        <w:t xml:space="preserve">al amparo de lo dispuesto en el artículo 93 del Reglamento del Congreso de los Diputados, solicitan que la Mesa acuerde </w:t>
      </w:r>
      <w:r>
        <w:rPr>
          <w:rFonts w:ascii="Arial" w:hAnsi="Arial" w:cs="Arial"/>
        </w:rPr>
        <w:t>su</w:t>
      </w:r>
      <w:r w:rsidRPr="00986B73">
        <w:rPr>
          <w:rFonts w:ascii="Arial" w:hAnsi="Arial" w:cs="Arial"/>
        </w:rPr>
        <w:t xml:space="preserve"> tramitación por el </w:t>
      </w:r>
      <w:r w:rsidRPr="00986B73">
        <w:rPr>
          <w:rFonts w:ascii="Arial" w:hAnsi="Arial" w:cs="Arial"/>
          <w:b/>
        </w:rPr>
        <w:t>procedimiento de urgencia</w:t>
      </w:r>
      <w:r w:rsidRPr="00986B73">
        <w:rPr>
          <w:rFonts w:ascii="Arial" w:hAnsi="Arial" w:cs="Arial"/>
        </w:rPr>
        <w:t>.</w:t>
      </w:r>
    </w:p>
    <w:p w14:paraId="5D079970" w14:textId="77777777" w:rsidR="00CF3BFF" w:rsidRDefault="00CF3BFF" w:rsidP="00CF3BFF">
      <w:pPr>
        <w:spacing w:line="360" w:lineRule="auto"/>
        <w:jc w:val="both"/>
        <w:rPr>
          <w:rFonts w:ascii="Arial" w:hAnsi="Arial" w:cs="Arial"/>
        </w:rPr>
      </w:pPr>
    </w:p>
    <w:p w14:paraId="07965521" w14:textId="45F27633" w:rsidR="00CF3BFF" w:rsidRDefault="00CF3BFF" w:rsidP="00CF3BFF">
      <w:pPr>
        <w:spacing w:line="360" w:lineRule="auto"/>
        <w:jc w:val="both"/>
        <w:rPr>
          <w:rFonts w:ascii="Arial" w:hAnsi="Arial" w:cs="Arial"/>
        </w:rPr>
      </w:pPr>
      <w:r>
        <w:rPr>
          <w:rFonts w:ascii="Arial" w:hAnsi="Arial" w:cs="Arial"/>
        </w:rPr>
        <w:t xml:space="preserve">En el Congreso de los Diputados a </w:t>
      </w:r>
      <w:r w:rsidR="002C7583">
        <w:rPr>
          <w:rFonts w:ascii="Arial" w:hAnsi="Arial" w:cs="Arial"/>
        </w:rPr>
        <w:t>11 de noviembre de 2022.</w:t>
      </w:r>
    </w:p>
    <w:p w14:paraId="2D4C74A2" w14:textId="77777777" w:rsidR="00CF3BFF" w:rsidRDefault="00CF3BFF" w:rsidP="00CF3BFF">
      <w:pPr>
        <w:spacing w:line="360" w:lineRule="auto"/>
        <w:jc w:val="both"/>
        <w:rPr>
          <w:rFonts w:ascii="Arial" w:hAnsi="Arial" w:cs="Arial"/>
        </w:rPr>
      </w:pPr>
    </w:p>
    <w:p w14:paraId="692333AE" w14:textId="77777777" w:rsidR="00CF3BFF" w:rsidRDefault="00CF3BFF" w:rsidP="00CF3BFF">
      <w:pPr>
        <w:spacing w:line="360" w:lineRule="auto"/>
        <w:jc w:val="both"/>
        <w:rPr>
          <w:rFonts w:ascii="Arial" w:hAnsi="Arial" w:cs="Arial"/>
        </w:rPr>
      </w:pPr>
    </w:p>
    <w:p w14:paraId="06828955" w14:textId="77777777" w:rsidR="00CF3BFF" w:rsidRDefault="00CF3BFF" w:rsidP="00CF3BFF">
      <w:pPr>
        <w:spacing w:line="360" w:lineRule="auto"/>
        <w:jc w:val="both"/>
        <w:rPr>
          <w:rFonts w:ascii="Arial" w:hAnsi="Arial" w:cs="Arial"/>
        </w:rPr>
      </w:pPr>
    </w:p>
    <w:p w14:paraId="58DB43AA" w14:textId="77777777" w:rsidR="00CF3BFF" w:rsidRDefault="00CF3BFF" w:rsidP="00CF3BFF">
      <w:pPr>
        <w:spacing w:after="0" w:line="360" w:lineRule="auto"/>
        <w:jc w:val="both"/>
        <w:rPr>
          <w:rFonts w:ascii="Arial" w:eastAsia="Times New Roman" w:hAnsi="Arial" w:cs="Times New Roman"/>
          <w:spacing w:val="-2"/>
          <w:sz w:val="24"/>
          <w:szCs w:val="20"/>
          <w:lang w:val="es-ES_tradnl" w:eastAsia="es-ES"/>
        </w:rPr>
      </w:pPr>
    </w:p>
    <w:p w14:paraId="35B92020" w14:textId="77777777" w:rsidR="00865C17" w:rsidRPr="002F4A15" w:rsidRDefault="00865C17" w:rsidP="00865C17">
      <w:pPr>
        <w:spacing w:after="0" w:line="360" w:lineRule="auto"/>
        <w:jc w:val="both"/>
        <w:rPr>
          <w:rFonts w:ascii="Arial" w:eastAsia="Times New Roman" w:hAnsi="Arial" w:cs="Times New Roman"/>
          <w:spacing w:val="-2"/>
          <w:sz w:val="24"/>
          <w:szCs w:val="20"/>
          <w:lang w:val="es-ES_tradnl" w:eastAsia="es-ES"/>
        </w:rPr>
      </w:pPr>
    </w:p>
    <w:p w14:paraId="53F60A99" w14:textId="77777777" w:rsidR="00865C17" w:rsidRPr="00D92427" w:rsidRDefault="00865C17" w:rsidP="00865C17">
      <w:pPr>
        <w:spacing w:after="0" w:line="360" w:lineRule="auto"/>
        <w:jc w:val="both"/>
        <w:rPr>
          <w:rFonts w:ascii="Arial" w:eastAsia="Times New Roman" w:hAnsi="Arial" w:cs="Times New Roman"/>
          <w:spacing w:val="-2"/>
          <w:sz w:val="20"/>
          <w:szCs w:val="20"/>
          <w:lang w:val="es-ES_tradnl" w:eastAsia="es-ES"/>
        </w:rPr>
      </w:pPr>
      <w:r w:rsidRPr="00D92427">
        <w:rPr>
          <w:rFonts w:ascii="Arial" w:eastAsia="Times New Roman" w:hAnsi="Arial" w:cs="Times New Roman"/>
          <w:spacing w:val="-2"/>
          <w:sz w:val="20"/>
          <w:szCs w:val="20"/>
          <w:lang w:val="es-ES_tradnl" w:eastAsia="es-ES"/>
        </w:rPr>
        <w:t xml:space="preserve">PORTAVOZ </w:t>
      </w:r>
      <w:r w:rsidRPr="00D92427">
        <w:rPr>
          <w:rFonts w:ascii="Arial" w:eastAsia="Times New Roman" w:hAnsi="Arial" w:cs="Times New Roman"/>
          <w:spacing w:val="-2"/>
          <w:sz w:val="20"/>
          <w:szCs w:val="20"/>
          <w:lang w:val="es-ES_tradnl" w:eastAsia="es-ES"/>
        </w:rPr>
        <w:tab/>
      </w:r>
      <w:r>
        <w:rPr>
          <w:rFonts w:ascii="Arial" w:eastAsia="Times New Roman" w:hAnsi="Arial" w:cs="Times New Roman"/>
          <w:spacing w:val="-2"/>
          <w:sz w:val="20"/>
          <w:szCs w:val="20"/>
          <w:lang w:val="es-ES_tradnl" w:eastAsia="es-ES"/>
        </w:rPr>
        <w:tab/>
      </w:r>
      <w:r>
        <w:rPr>
          <w:rFonts w:ascii="Arial" w:eastAsia="Times New Roman" w:hAnsi="Arial" w:cs="Times New Roman"/>
          <w:spacing w:val="-2"/>
          <w:sz w:val="20"/>
          <w:szCs w:val="20"/>
          <w:lang w:val="es-ES_tradnl" w:eastAsia="es-ES"/>
        </w:rPr>
        <w:tab/>
      </w:r>
      <w:r>
        <w:rPr>
          <w:rFonts w:ascii="Arial" w:eastAsia="Times New Roman" w:hAnsi="Arial" w:cs="Times New Roman"/>
          <w:spacing w:val="-2"/>
          <w:sz w:val="20"/>
          <w:szCs w:val="20"/>
          <w:lang w:val="es-ES_tradnl" w:eastAsia="es-ES"/>
        </w:rPr>
        <w:tab/>
      </w:r>
      <w:r>
        <w:rPr>
          <w:rFonts w:ascii="Arial" w:eastAsia="Times New Roman" w:hAnsi="Arial" w:cs="Times New Roman"/>
          <w:spacing w:val="-2"/>
          <w:sz w:val="20"/>
          <w:szCs w:val="20"/>
          <w:lang w:val="es-ES_tradnl" w:eastAsia="es-ES"/>
        </w:rPr>
        <w:tab/>
      </w:r>
      <w:r w:rsidRPr="00D92427">
        <w:rPr>
          <w:rFonts w:ascii="Arial" w:eastAsia="Times New Roman" w:hAnsi="Arial" w:cs="Times New Roman"/>
          <w:spacing w:val="-2"/>
          <w:sz w:val="20"/>
          <w:szCs w:val="20"/>
          <w:lang w:val="es-ES_tradnl" w:eastAsia="es-ES"/>
        </w:rPr>
        <w:t>PORTAVOZ</w:t>
      </w:r>
      <w:r w:rsidRPr="00D92427">
        <w:rPr>
          <w:rFonts w:ascii="Arial" w:eastAsia="Times New Roman" w:hAnsi="Arial" w:cs="Times New Roman"/>
          <w:spacing w:val="-2"/>
          <w:sz w:val="20"/>
          <w:szCs w:val="20"/>
          <w:lang w:val="es-ES_tradnl" w:eastAsia="es-ES"/>
        </w:rPr>
        <w:tab/>
      </w:r>
      <w:r w:rsidRPr="00D92427">
        <w:rPr>
          <w:rFonts w:ascii="Arial" w:eastAsia="Times New Roman" w:hAnsi="Arial" w:cs="Times New Roman"/>
          <w:spacing w:val="-2"/>
          <w:sz w:val="20"/>
          <w:szCs w:val="20"/>
          <w:lang w:val="es-ES_tradnl" w:eastAsia="es-ES"/>
        </w:rPr>
        <w:tab/>
      </w:r>
      <w:r w:rsidRPr="00D92427">
        <w:rPr>
          <w:rFonts w:ascii="Arial" w:eastAsia="Times New Roman" w:hAnsi="Arial" w:cs="Times New Roman"/>
          <w:spacing w:val="-2"/>
          <w:sz w:val="20"/>
          <w:szCs w:val="20"/>
          <w:lang w:val="es-ES_tradnl" w:eastAsia="es-ES"/>
        </w:rPr>
        <w:tab/>
      </w:r>
    </w:p>
    <w:p w14:paraId="210169CC" w14:textId="77777777" w:rsidR="00865C17" w:rsidRDefault="00865C17" w:rsidP="00865C17">
      <w:pPr>
        <w:spacing w:after="0" w:line="360" w:lineRule="auto"/>
        <w:ind w:left="4245" w:hanging="4245"/>
        <w:jc w:val="both"/>
        <w:rPr>
          <w:rFonts w:ascii="Arial" w:eastAsia="Times New Roman" w:hAnsi="Arial" w:cs="Times New Roman"/>
          <w:spacing w:val="-2"/>
          <w:sz w:val="20"/>
          <w:szCs w:val="20"/>
          <w:lang w:val="es-ES_tradnl" w:eastAsia="es-ES"/>
        </w:rPr>
      </w:pPr>
      <w:r w:rsidRPr="00D92427">
        <w:rPr>
          <w:rFonts w:ascii="Arial" w:eastAsia="Times New Roman" w:hAnsi="Arial" w:cs="Times New Roman"/>
          <w:spacing w:val="-2"/>
          <w:sz w:val="20"/>
          <w:szCs w:val="20"/>
          <w:lang w:val="es-ES_tradnl" w:eastAsia="es-ES"/>
        </w:rPr>
        <w:t>GRUPO PARLAMENTARIO SOCIALISTA</w:t>
      </w:r>
      <w:r w:rsidRPr="00D92427">
        <w:rPr>
          <w:rFonts w:ascii="Arial" w:eastAsia="Times New Roman" w:hAnsi="Arial" w:cs="Times New Roman"/>
          <w:spacing w:val="-2"/>
          <w:sz w:val="20"/>
          <w:szCs w:val="20"/>
          <w:lang w:val="es-ES_tradnl" w:eastAsia="es-ES"/>
        </w:rPr>
        <w:tab/>
        <w:t>G</w:t>
      </w:r>
      <w:r>
        <w:rPr>
          <w:rFonts w:ascii="Arial" w:eastAsia="Times New Roman" w:hAnsi="Arial" w:cs="Times New Roman"/>
          <w:spacing w:val="-2"/>
          <w:sz w:val="20"/>
          <w:szCs w:val="20"/>
          <w:lang w:val="es-ES_tradnl" w:eastAsia="es-ES"/>
        </w:rPr>
        <w:t>.</w:t>
      </w:r>
      <w:r w:rsidRPr="00D92427">
        <w:rPr>
          <w:rFonts w:ascii="Arial" w:eastAsia="Times New Roman" w:hAnsi="Arial" w:cs="Times New Roman"/>
          <w:spacing w:val="-2"/>
          <w:sz w:val="20"/>
          <w:szCs w:val="20"/>
          <w:lang w:val="es-ES_tradnl" w:eastAsia="es-ES"/>
        </w:rPr>
        <w:t>P</w:t>
      </w:r>
      <w:r>
        <w:rPr>
          <w:rFonts w:ascii="Arial" w:eastAsia="Times New Roman" w:hAnsi="Arial" w:cs="Times New Roman"/>
          <w:spacing w:val="-2"/>
          <w:sz w:val="20"/>
          <w:szCs w:val="20"/>
          <w:lang w:val="es-ES_tradnl" w:eastAsia="es-ES"/>
        </w:rPr>
        <w:t xml:space="preserve">. </w:t>
      </w:r>
      <w:r w:rsidRPr="00D92427">
        <w:rPr>
          <w:rFonts w:ascii="Arial" w:eastAsia="Times New Roman" w:hAnsi="Arial" w:cs="Times New Roman"/>
          <w:spacing w:val="-2"/>
          <w:sz w:val="20"/>
          <w:szCs w:val="20"/>
          <w:lang w:val="es-ES_tradnl" w:eastAsia="es-ES"/>
        </w:rPr>
        <w:t>CONFEDERAL DE UNIDAS PODEMOS-EN COMÚ PODEM-GALICIA EN COMÚN</w:t>
      </w:r>
    </w:p>
    <w:p w14:paraId="68322221" w14:textId="01AD6596" w:rsidR="00986B73" w:rsidRDefault="00986B73" w:rsidP="00986B73">
      <w:pPr>
        <w:spacing w:line="360" w:lineRule="auto"/>
        <w:jc w:val="both"/>
        <w:rPr>
          <w:rFonts w:ascii="Arial" w:hAnsi="Arial" w:cs="Arial"/>
        </w:rPr>
      </w:pPr>
    </w:p>
    <w:p w14:paraId="741EE3E9" w14:textId="601A593B" w:rsidR="002C7583" w:rsidRDefault="002C7583" w:rsidP="00986B73">
      <w:pPr>
        <w:spacing w:line="360" w:lineRule="auto"/>
        <w:jc w:val="both"/>
        <w:rPr>
          <w:rFonts w:ascii="Arial" w:hAnsi="Arial" w:cs="Arial"/>
        </w:rPr>
      </w:pPr>
    </w:p>
    <w:p w14:paraId="6DDE1974" w14:textId="7C835BFE" w:rsidR="002C7583" w:rsidRDefault="002C7583" w:rsidP="00986B73">
      <w:pPr>
        <w:spacing w:line="360" w:lineRule="auto"/>
        <w:jc w:val="both"/>
        <w:rPr>
          <w:rFonts w:ascii="Arial" w:hAnsi="Arial" w:cs="Arial"/>
        </w:rPr>
      </w:pPr>
    </w:p>
    <w:p w14:paraId="566D0BFE" w14:textId="3071FEB1" w:rsidR="002C7583" w:rsidRDefault="002C7583" w:rsidP="00986B73">
      <w:pPr>
        <w:spacing w:line="360" w:lineRule="auto"/>
        <w:jc w:val="both"/>
        <w:rPr>
          <w:rFonts w:ascii="Arial" w:hAnsi="Arial" w:cs="Arial"/>
        </w:rPr>
      </w:pPr>
    </w:p>
    <w:p w14:paraId="2044A9F7" w14:textId="05391E29" w:rsidR="002C7583" w:rsidRDefault="002C7583" w:rsidP="00986B73">
      <w:pPr>
        <w:spacing w:line="360" w:lineRule="auto"/>
        <w:jc w:val="both"/>
        <w:rPr>
          <w:rFonts w:ascii="Arial" w:hAnsi="Arial" w:cs="Arial"/>
        </w:rPr>
      </w:pPr>
    </w:p>
    <w:p w14:paraId="549862B4" w14:textId="77777777" w:rsidR="002C7583" w:rsidRPr="002C7583" w:rsidRDefault="002C7583" w:rsidP="002C7583">
      <w:pPr>
        <w:spacing w:after="0" w:line="240" w:lineRule="auto"/>
        <w:jc w:val="both"/>
        <w:rPr>
          <w:rFonts w:ascii="Arial" w:eastAsia="Times New Roman" w:hAnsi="Arial" w:cs="Arial"/>
          <w:b/>
          <w:bCs/>
          <w:lang w:eastAsia="es-ES"/>
        </w:rPr>
      </w:pPr>
      <w:r w:rsidRPr="002C7583">
        <w:rPr>
          <w:rFonts w:ascii="Arial" w:eastAsia="Times New Roman" w:hAnsi="Arial" w:cs="Arial"/>
          <w:b/>
          <w:bCs/>
          <w:lang w:eastAsia="es-ES"/>
        </w:rPr>
        <w:lastRenderedPageBreak/>
        <w:t xml:space="preserve">PROPOSICIÓN DE LEY ORGÁNICA DE TRANSPOSICIÓN DE DIRECTIVAS EUROPEAS Y OTRAS DISPOSICIONES PARA LA ADAPTACIÓN DE LA LEGISLACIÓN PENAL AL ORDENAMIENTO DE LA UNIÓN EUROPEA, Y REFORMA DE LOS DELITOS CONTRA LA INTEGRIDAD MORAL, DESÓRDENES PÚBLICOS Y CONTRABANDO DE ARMAS DE DOBLE USO. </w:t>
      </w:r>
    </w:p>
    <w:p w14:paraId="6C42DD94" w14:textId="7800E5F7" w:rsidR="002C7583" w:rsidRPr="002C7583" w:rsidRDefault="002C7583" w:rsidP="002C7583">
      <w:pPr>
        <w:spacing w:after="0" w:line="240" w:lineRule="auto"/>
        <w:jc w:val="both"/>
        <w:rPr>
          <w:rFonts w:ascii="Arial" w:eastAsia="Times New Roman" w:hAnsi="Arial" w:cs="Arial"/>
          <w:b/>
          <w:bCs/>
          <w:lang w:eastAsia="es-ES"/>
        </w:rPr>
      </w:pPr>
    </w:p>
    <w:p w14:paraId="5C3B5972" w14:textId="77777777" w:rsidR="002C7583" w:rsidRPr="002C7583" w:rsidRDefault="002C7583" w:rsidP="002C7583">
      <w:pPr>
        <w:spacing w:after="0" w:line="240" w:lineRule="auto"/>
        <w:jc w:val="both"/>
        <w:rPr>
          <w:rFonts w:ascii="Arial" w:eastAsia="Times New Roman" w:hAnsi="Arial" w:cs="Arial"/>
          <w:b/>
          <w:bCs/>
          <w:lang w:eastAsia="es-ES"/>
        </w:rPr>
      </w:pPr>
    </w:p>
    <w:p w14:paraId="6BE34CCB" w14:textId="0CBD2792" w:rsidR="002C7583" w:rsidRPr="002C7583" w:rsidRDefault="002C7583" w:rsidP="002C7583">
      <w:pPr>
        <w:spacing w:after="0" w:line="240" w:lineRule="auto"/>
        <w:jc w:val="center"/>
        <w:rPr>
          <w:rFonts w:ascii="Arial" w:eastAsia="Times New Roman" w:hAnsi="Arial" w:cs="Arial"/>
          <w:b/>
          <w:lang w:eastAsia="es-ES"/>
        </w:rPr>
      </w:pPr>
      <w:r w:rsidRPr="002C7583">
        <w:rPr>
          <w:rFonts w:ascii="Arial" w:eastAsia="Times New Roman" w:hAnsi="Arial" w:cs="Arial"/>
          <w:b/>
          <w:lang w:eastAsia="es-ES"/>
        </w:rPr>
        <w:t>EXPOSICIÓN DE MOTIVOS</w:t>
      </w:r>
    </w:p>
    <w:p w14:paraId="0A05F48C" w14:textId="4FA3D1DF" w:rsidR="002C7583" w:rsidRDefault="002C7583" w:rsidP="002C7583">
      <w:pPr>
        <w:spacing w:after="0" w:line="240" w:lineRule="auto"/>
        <w:jc w:val="center"/>
        <w:rPr>
          <w:rFonts w:ascii="Arial" w:eastAsia="Times New Roman" w:hAnsi="Arial" w:cs="Arial"/>
          <w:lang w:eastAsia="es-ES"/>
        </w:rPr>
      </w:pPr>
    </w:p>
    <w:p w14:paraId="5AB73CF0" w14:textId="77777777" w:rsidR="002C7583" w:rsidRPr="002C7583" w:rsidRDefault="002C7583" w:rsidP="002C7583">
      <w:pPr>
        <w:spacing w:after="0" w:line="240" w:lineRule="auto"/>
        <w:jc w:val="center"/>
        <w:rPr>
          <w:rFonts w:ascii="Arial" w:eastAsia="Times New Roman" w:hAnsi="Arial" w:cs="Arial"/>
          <w:lang w:eastAsia="es-ES"/>
        </w:rPr>
      </w:pPr>
    </w:p>
    <w:p w14:paraId="21834872" w14:textId="77777777" w:rsidR="002C7583" w:rsidRPr="002C7583" w:rsidRDefault="002C7583" w:rsidP="002C7583">
      <w:pPr>
        <w:spacing w:after="0" w:line="240" w:lineRule="auto"/>
        <w:jc w:val="center"/>
        <w:rPr>
          <w:rFonts w:ascii="Arial" w:eastAsia="Times New Roman" w:hAnsi="Arial" w:cs="Arial"/>
          <w:b/>
          <w:lang w:eastAsia="es-ES"/>
        </w:rPr>
      </w:pPr>
      <w:r w:rsidRPr="002C7583">
        <w:rPr>
          <w:rFonts w:ascii="Arial" w:eastAsia="Times New Roman" w:hAnsi="Arial" w:cs="Arial"/>
          <w:b/>
          <w:lang w:eastAsia="es-ES"/>
        </w:rPr>
        <w:t>I</w:t>
      </w:r>
    </w:p>
    <w:p w14:paraId="447F0FFC" w14:textId="77777777" w:rsidR="002C7583" w:rsidRPr="002C7583" w:rsidRDefault="002C7583" w:rsidP="002C7583">
      <w:pPr>
        <w:spacing w:after="0" w:line="240" w:lineRule="auto"/>
        <w:jc w:val="both"/>
        <w:rPr>
          <w:rFonts w:ascii="Arial" w:eastAsia="Times New Roman" w:hAnsi="Arial" w:cs="Arial"/>
          <w:lang w:eastAsia="es-ES"/>
        </w:rPr>
      </w:pPr>
    </w:p>
    <w:p w14:paraId="599516D4" w14:textId="77777777" w:rsidR="002C7583" w:rsidRPr="002C7583" w:rsidRDefault="002C7583" w:rsidP="002C7583">
      <w:pPr>
        <w:spacing w:after="0" w:line="240" w:lineRule="auto"/>
        <w:jc w:val="both"/>
        <w:rPr>
          <w:rFonts w:ascii="Arial" w:eastAsia="Times New Roman" w:hAnsi="Arial" w:cs="Arial"/>
          <w:lang w:eastAsia="es-ES"/>
        </w:rPr>
      </w:pPr>
      <w:r w:rsidRPr="002C7583">
        <w:rPr>
          <w:rFonts w:ascii="Arial" w:eastAsia="Times New Roman" w:hAnsi="Arial" w:cs="Arial"/>
          <w:lang w:eastAsia="es-ES"/>
        </w:rPr>
        <w:t xml:space="preserve">La legislación penal constituye un ámbito jurídico clave para fundamentar las bases de un Estado de Derecho. </w:t>
      </w:r>
    </w:p>
    <w:p w14:paraId="4799AC84" w14:textId="77777777" w:rsidR="002C7583" w:rsidRPr="002C7583" w:rsidRDefault="002C7583" w:rsidP="002C7583">
      <w:pPr>
        <w:spacing w:after="0" w:line="240" w:lineRule="auto"/>
        <w:jc w:val="both"/>
        <w:rPr>
          <w:rFonts w:ascii="Arial" w:eastAsia="Times New Roman" w:hAnsi="Arial" w:cs="Arial"/>
          <w:lang w:eastAsia="es-ES"/>
        </w:rPr>
      </w:pPr>
    </w:p>
    <w:p w14:paraId="6D7C1433" w14:textId="77777777" w:rsidR="002C7583" w:rsidRPr="002C7583" w:rsidRDefault="002C7583" w:rsidP="002C7583">
      <w:pPr>
        <w:spacing w:after="0" w:line="240" w:lineRule="auto"/>
        <w:jc w:val="both"/>
        <w:rPr>
          <w:rFonts w:ascii="Arial" w:eastAsia="Times New Roman" w:hAnsi="Arial" w:cs="Arial"/>
          <w:lang w:eastAsia="es-ES"/>
        </w:rPr>
      </w:pPr>
      <w:r w:rsidRPr="002C7583">
        <w:rPr>
          <w:rFonts w:ascii="Arial" w:eastAsia="Times New Roman" w:hAnsi="Arial" w:cs="Arial"/>
          <w:lang w:eastAsia="es-ES"/>
        </w:rPr>
        <w:t>El artículo primero de la Constitución Española de 1978 establece que “España se constituye en un Estado social y democrático de Derecho, que propugna como valores superiores de su ordenamiento jurídico la libertad, la justicia, la igualdad y el pluralismo político”.</w:t>
      </w:r>
    </w:p>
    <w:p w14:paraId="4C1FD6F9" w14:textId="77777777" w:rsidR="002C7583" w:rsidRPr="002C7583" w:rsidRDefault="002C7583" w:rsidP="002C7583">
      <w:pPr>
        <w:spacing w:after="0" w:line="240" w:lineRule="auto"/>
        <w:jc w:val="both"/>
        <w:rPr>
          <w:rFonts w:ascii="Arial" w:eastAsia="Times New Roman" w:hAnsi="Arial" w:cs="Arial"/>
          <w:lang w:eastAsia="es-ES"/>
        </w:rPr>
      </w:pPr>
    </w:p>
    <w:p w14:paraId="7C86DE67" w14:textId="77777777" w:rsidR="002C7583" w:rsidRPr="002C7583" w:rsidRDefault="002C7583" w:rsidP="002C7583">
      <w:pPr>
        <w:spacing w:after="0" w:line="240" w:lineRule="auto"/>
        <w:jc w:val="both"/>
        <w:rPr>
          <w:rFonts w:ascii="Arial" w:eastAsia="Times New Roman" w:hAnsi="Arial" w:cs="Arial"/>
          <w:lang w:eastAsia="es-ES"/>
        </w:rPr>
      </w:pPr>
      <w:r w:rsidRPr="002C7583">
        <w:rPr>
          <w:rFonts w:ascii="Arial" w:eastAsia="Times New Roman" w:hAnsi="Arial" w:cs="Arial"/>
          <w:lang w:eastAsia="es-ES"/>
        </w:rPr>
        <w:t>La plena vigencia de los valores constitucionales, la calidad de nuestra democracia y la convivencia misma, dependen en buena medida de la aplicación de una legislación penal coherente con aquellos principios, actualizada y eficaz.</w:t>
      </w:r>
    </w:p>
    <w:p w14:paraId="5D0F0E5A" w14:textId="77777777" w:rsidR="002C7583" w:rsidRPr="002C7583" w:rsidRDefault="002C7583" w:rsidP="002C7583">
      <w:pPr>
        <w:spacing w:after="0" w:line="240" w:lineRule="auto"/>
        <w:jc w:val="both"/>
        <w:rPr>
          <w:rFonts w:ascii="Arial" w:eastAsia="Times New Roman" w:hAnsi="Arial" w:cs="Arial"/>
          <w:lang w:eastAsia="es-ES"/>
        </w:rPr>
      </w:pPr>
    </w:p>
    <w:p w14:paraId="25A67321" w14:textId="77777777" w:rsidR="002C7583" w:rsidRPr="002C7583" w:rsidRDefault="002C7583" w:rsidP="002C7583">
      <w:pPr>
        <w:spacing w:after="0" w:line="240" w:lineRule="auto"/>
        <w:jc w:val="both"/>
        <w:rPr>
          <w:rFonts w:ascii="Arial" w:eastAsia="Times New Roman" w:hAnsi="Arial" w:cs="Arial"/>
          <w:lang w:eastAsia="es-ES"/>
        </w:rPr>
      </w:pPr>
      <w:r w:rsidRPr="002C7583">
        <w:rPr>
          <w:rFonts w:ascii="Arial" w:eastAsia="Times New Roman" w:hAnsi="Arial" w:cs="Arial"/>
          <w:lang w:eastAsia="es-ES"/>
        </w:rPr>
        <w:t>La presente Proposición de Ley pretende afrontar algunos de los retos pendientes en la legislación penal española, en relación con ciertos tipos y penas que la evolución social, la experiencia y el derecho comparado invitan a revisar desde hace mucho tiempo.</w:t>
      </w:r>
    </w:p>
    <w:p w14:paraId="7D9B8A0F" w14:textId="77777777" w:rsidR="002C7583" w:rsidRPr="002C7583" w:rsidRDefault="002C7583" w:rsidP="002C7583">
      <w:pPr>
        <w:spacing w:after="0" w:line="240" w:lineRule="auto"/>
        <w:jc w:val="both"/>
        <w:rPr>
          <w:rFonts w:ascii="Arial" w:eastAsia="Times New Roman" w:hAnsi="Arial" w:cs="Arial"/>
          <w:lang w:eastAsia="es-ES"/>
        </w:rPr>
      </w:pPr>
    </w:p>
    <w:p w14:paraId="530C4FD1" w14:textId="77777777" w:rsidR="002C7583" w:rsidRPr="002C7583" w:rsidRDefault="002C7583" w:rsidP="002C7583">
      <w:pPr>
        <w:spacing w:after="0" w:line="240" w:lineRule="auto"/>
        <w:jc w:val="both"/>
        <w:rPr>
          <w:rFonts w:ascii="Arial" w:eastAsia="Times New Roman" w:hAnsi="Arial" w:cs="Arial"/>
          <w:lang w:eastAsia="es-ES"/>
        </w:rPr>
      </w:pPr>
      <w:r w:rsidRPr="002C7583">
        <w:rPr>
          <w:rFonts w:ascii="Arial" w:eastAsia="Times New Roman" w:hAnsi="Arial" w:cs="Arial"/>
          <w:lang w:eastAsia="es-ES"/>
        </w:rPr>
        <w:t>Algunos de esos tipos y penas presentes en nuestra legislación penal responden aún a realidades sociales y configuraciones doctrinales propias de hace dos siglos. Es tiempo ya, por tanto, para que el ordenamiento jurídico español actualice ciertas definiciones, en cuanto a los comportamientos delictivos y a las respuestas adecuadas en las sociedades del siglo XXI.</w:t>
      </w:r>
    </w:p>
    <w:p w14:paraId="1A5EF432" w14:textId="77777777" w:rsidR="002C7583" w:rsidRPr="002C7583" w:rsidRDefault="002C7583" w:rsidP="002C7583">
      <w:pPr>
        <w:spacing w:after="0" w:line="240" w:lineRule="auto"/>
        <w:jc w:val="both"/>
        <w:rPr>
          <w:rFonts w:ascii="Arial" w:eastAsia="Times New Roman" w:hAnsi="Arial" w:cs="Arial"/>
          <w:lang w:eastAsia="es-ES"/>
        </w:rPr>
      </w:pPr>
    </w:p>
    <w:p w14:paraId="47CAF1E3" w14:textId="77777777" w:rsidR="002C7583" w:rsidRPr="002C7583" w:rsidRDefault="002C7583" w:rsidP="002C7583">
      <w:pPr>
        <w:spacing w:after="0" w:line="240" w:lineRule="auto"/>
        <w:jc w:val="both"/>
        <w:rPr>
          <w:rFonts w:ascii="Arial" w:eastAsia="Times New Roman" w:hAnsi="Arial" w:cs="Arial"/>
          <w:lang w:eastAsia="es-ES"/>
        </w:rPr>
      </w:pPr>
      <w:r w:rsidRPr="002C7583">
        <w:rPr>
          <w:rFonts w:ascii="Arial" w:eastAsia="Times New Roman" w:hAnsi="Arial" w:cs="Arial"/>
          <w:lang w:eastAsia="es-ES"/>
        </w:rPr>
        <w:t>Es preciso aportar calidad, claridad y modernidad en algunos ámbitos de la legislación penal española que presentan problemas evidentes de indeterminación y obsolescencia. El mandato de certeza propio del principio de legalidad penal requiere una actuación insoslayable e inaplazable al respecto.</w:t>
      </w:r>
    </w:p>
    <w:p w14:paraId="4FAE757E" w14:textId="77777777" w:rsidR="002C7583" w:rsidRPr="002C7583" w:rsidRDefault="002C7583" w:rsidP="002C7583">
      <w:pPr>
        <w:spacing w:after="0" w:line="240" w:lineRule="auto"/>
        <w:jc w:val="both"/>
        <w:rPr>
          <w:rFonts w:ascii="Arial" w:eastAsia="Times New Roman" w:hAnsi="Arial" w:cs="Arial"/>
          <w:lang w:eastAsia="es-ES"/>
        </w:rPr>
      </w:pPr>
    </w:p>
    <w:p w14:paraId="72DE4F6B" w14:textId="77777777" w:rsidR="002C7583" w:rsidRPr="002C7583" w:rsidRDefault="002C7583" w:rsidP="002C7583">
      <w:pPr>
        <w:spacing w:after="0" w:line="240" w:lineRule="auto"/>
        <w:jc w:val="both"/>
        <w:rPr>
          <w:rFonts w:ascii="Arial" w:eastAsia="Times New Roman" w:hAnsi="Arial" w:cs="Arial"/>
          <w:lang w:eastAsia="es-ES"/>
        </w:rPr>
      </w:pPr>
      <w:r w:rsidRPr="002C7583">
        <w:rPr>
          <w:rFonts w:ascii="Arial" w:eastAsia="Times New Roman" w:hAnsi="Arial" w:cs="Arial"/>
          <w:lang w:eastAsia="es-ES"/>
        </w:rPr>
        <w:t>Por otra parte, España forma parte de las instituciones europeas y comparte propósitos y tareas de coordinación crecientes en materia judicial y de seguridad. La armonización de nuestra legislación penal con los estándares más claramente asentados en la doctrina y en la práctica jurídica de los países de la Unión Europea constituye una obligación incontestable, en consecuencia.</w:t>
      </w:r>
    </w:p>
    <w:p w14:paraId="5599A43F" w14:textId="77777777" w:rsidR="002C7583" w:rsidRPr="002C7583" w:rsidRDefault="002C7583" w:rsidP="002C7583">
      <w:pPr>
        <w:spacing w:after="0" w:line="240" w:lineRule="auto"/>
        <w:jc w:val="both"/>
        <w:rPr>
          <w:rFonts w:ascii="Arial" w:eastAsia="Times New Roman" w:hAnsi="Arial" w:cs="Arial"/>
          <w:lang w:eastAsia="es-ES"/>
        </w:rPr>
      </w:pPr>
    </w:p>
    <w:p w14:paraId="023EDFC7" w14:textId="77777777" w:rsidR="002C7583" w:rsidRPr="002C7583" w:rsidRDefault="002C7583" w:rsidP="002C7583">
      <w:pPr>
        <w:spacing w:after="0" w:line="240" w:lineRule="auto"/>
        <w:jc w:val="both"/>
        <w:rPr>
          <w:rFonts w:ascii="Arial" w:eastAsia="Times New Roman" w:hAnsi="Arial" w:cs="Arial"/>
          <w:lang w:eastAsia="es-ES"/>
        </w:rPr>
      </w:pPr>
      <w:r w:rsidRPr="002C7583">
        <w:rPr>
          <w:rFonts w:ascii="Arial" w:eastAsia="Times New Roman" w:hAnsi="Arial" w:cs="Arial"/>
          <w:lang w:eastAsia="es-ES"/>
        </w:rPr>
        <w:t xml:space="preserve">La presencia en nuestro ordenamiento de tipos penales inexistentes en la mayoría de los Estados integrantes de la Unión Europea, o la vigencia de penas desproporcionadas </w:t>
      </w:r>
      <w:r w:rsidRPr="002C7583">
        <w:rPr>
          <w:rFonts w:ascii="Arial" w:eastAsia="Times New Roman" w:hAnsi="Arial" w:cs="Arial"/>
          <w:lang w:eastAsia="es-ES"/>
        </w:rPr>
        <w:lastRenderedPageBreak/>
        <w:t>en relación a las que se aplican en los países vecinos, resulta altamente disfuncional en lo relativo al funcionamiento de la mencionada cooperación judicial y de seguridad.</w:t>
      </w:r>
    </w:p>
    <w:p w14:paraId="411B956F" w14:textId="77777777" w:rsidR="002C7583" w:rsidRPr="002C7583" w:rsidRDefault="002C7583" w:rsidP="002C7583">
      <w:pPr>
        <w:spacing w:after="0" w:line="240" w:lineRule="auto"/>
        <w:jc w:val="both"/>
        <w:rPr>
          <w:rFonts w:ascii="Arial" w:eastAsia="Times New Roman" w:hAnsi="Arial" w:cs="Arial"/>
          <w:lang w:eastAsia="es-ES"/>
        </w:rPr>
      </w:pPr>
    </w:p>
    <w:p w14:paraId="5A408962" w14:textId="77777777" w:rsidR="002C7583" w:rsidRPr="002C7583" w:rsidRDefault="002C7583" w:rsidP="002C7583">
      <w:pPr>
        <w:spacing w:after="0" w:line="240" w:lineRule="auto"/>
        <w:jc w:val="both"/>
        <w:rPr>
          <w:rFonts w:ascii="Arial" w:eastAsia="Times New Roman" w:hAnsi="Arial" w:cs="Arial"/>
          <w:lang w:eastAsia="es-ES"/>
        </w:rPr>
      </w:pPr>
      <w:r w:rsidRPr="002C7583">
        <w:rPr>
          <w:rFonts w:ascii="Arial" w:eastAsia="Times New Roman" w:hAnsi="Arial" w:cs="Arial"/>
          <w:lang w:eastAsia="es-ES"/>
        </w:rPr>
        <w:t>Esta Proposición de Ley busca dar solución a buena parte de estas dificultades y desafíos.</w:t>
      </w:r>
    </w:p>
    <w:p w14:paraId="78E35F12" w14:textId="77777777" w:rsidR="002C7583" w:rsidRPr="002C7583" w:rsidRDefault="002C7583" w:rsidP="002C7583">
      <w:pPr>
        <w:spacing w:after="0" w:line="240" w:lineRule="auto"/>
        <w:jc w:val="both"/>
        <w:rPr>
          <w:rFonts w:ascii="Arial" w:eastAsia="Times New Roman" w:hAnsi="Arial" w:cs="Arial"/>
          <w:lang w:eastAsia="es-ES"/>
        </w:rPr>
      </w:pPr>
    </w:p>
    <w:p w14:paraId="45C33A03" w14:textId="77777777" w:rsidR="002C7583" w:rsidRPr="002C7583" w:rsidRDefault="002C7583" w:rsidP="002C7583">
      <w:pPr>
        <w:spacing w:after="0" w:line="240" w:lineRule="auto"/>
        <w:jc w:val="both"/>
        <w:rPr>
          <w:rFonts w:ascii="Arial" w:eastAsia="Times New Roman" w:hAnsi="Arial" w:cs="Arial"/>
          <w:lang w:eastAsia="es-ES"/>
        </w:rPr>
      </w:pPr>
      <w:r w:rsidRPr="002C7583">
        <w:rPr>
          <w:rFonts w:ascii="Arial" w:eastAsia="Times New Roman" w:hAnsi="Arial" w:cs="Arial"/>
          <w:lang w:eastAsia="es-ES"/>
        </w:rPr>
        <w:t>En tal sentido, el Código Penal, tal y como señala la Exposición de Motivos de la Ley Orgánica 10/1995, de 23 de noviembre, ha de tutelar los valores y principios básicos de la convivencia social. Cuando esos valores y principios cambian, es preciso actualizar su contenido para que pueda seguir cumpliendo su labor social.</w:t>
      </w:r>
    </w:p>
    <w:p w14:paraId="6D956452" w14:textId="77777777" w:rsidR="002C7583" w:rsidRPr="002C7583" w:rsidRDefault="002C7583" w:rsidP="002C7583">
      <w:pPr>
        <w:spacing w:after="0" w:line="240" w:lineRule="auto"/>
        <w:jc w:val="both"/>
        <w:rPr>
          <w:rFonts w:ascii="Arial" w:eastAsia="Times New Roman" w:hAnsi="Arial" w:cs="Arial"/>
          <w:lang w:eastAsia="es-ES"/>
        </w:rPr>
      </w:pPr>
    </w:p>
    <w:p w14:paraId="173698D3" w14:textId="77777777" w:rsidR="002C7583" w:rsidRPr="002C7583" w:rsidRDefault="002C7583" w:rsidP="002C7583">
      <w:pPr>
        <w:spacing w:after="0" w:line="240" w:lineRule="auto"/>
        <w:jc w:val="both"/>
        <w:rPr>
          <w:rFonts w:ascii="Arial" w:eastAsia="Times New Roman" w:hAnsi="Arial" w:cs="Arial"/>
          <w:lang w:eastAsia="es-ES"/>
        </w:rPr>
      </w:pPr>
      <w:r w:rsidRPr="002C7583">
        <w:rPr>
          <w:rFonts w:ascii="Arial" w:eastAsia="Times New Roman" w:hAnsi="Arial" w:cs="Arial"/>
          <w:lang w:eastAsia="es-ES"/>
        </w:rPr>
        <w:t>El devenir social, la incardinación de nuestro país en la Unión Europea y la pertenencia a determinados organismos internacionales que marcan pautas de actuación, no sólo en la represión de las conductas delictivas sino en el respeto a los derechos fundamentales como límite de actuación de los poderes públicos, exigen una modificación de determinados tipos penales, posibilitando así seguir contando con un Código Penal que responde al tiempo en que la sociedad se halla y da una respuesta actual, segura y propia de un Estado de Derecho como el nuestro a nuevas formas delictivas o a la evolución de otras ya existentes.</w:t>
      </w:r>
    </w:p>
    <w:p w14:paraId="24919405" w14:textId="77777777" w:rsidR="002C7583" w:rsidRPr="002C7583" w:rsidRDefault="002C7583" w:rsidP="002C7583">
      <w:pPr>
        <w:spacing w:after="0" w:line="240" w:lineRule="auto"/>
        <w:jc w:val="both"/>
        <w:rPr>
          <w:rFonts w:ascii="Arial" w:eastAsia="Times New Roman" w:hAnsi="Arial" w:cs="Arial"/>
          <w:lang w:eastAsia="es-ES"/>
        </w:rPr>
      </w:pPr>
    </w:p>
    <w:p w14:paraId="7FE85496" w14:textId="77777777" w:rsidR="002C7583" w:rsidRPr="002C7583" w:rsidRDefault="002C7583" w:rsidP="002C7583">
      <w:pPr>
        <w:spacing w:after="0" w:line="240" w:lineRule="auto"/>
        <w:jc w:val="both"/>
        <w:rPr>
          <w:rFonts w:ascii="Arial" w:eastAsia="Times New Roman" w:hAnsi="Arial" w:cs="Arial"/>
          <w:strike/>
          <w:lang w:eastAsia="es-ES"/>
        </w:rPr>
      </w:pPr>
      <w:r w:rsidRPr="002C7583">
        <w:rPr>
          <w:rFonts w:ascii="Arial" w:eastAsia="Times New Roman" w:hAnsi="Arial" w:cs="Arial"/>
          <w:lang w:eastAsia="es-ES"/>
        </w:rPr>
        <w:t xml:space="preserve">Es por ello que la presente Proposición de Ley Orgánica consta de dos artículos, nueve disposiciones, de las cuales tres son disposiciones transitorias y seis son disposiciones finales. El primer artículo es de modificación de la Ley Orgánica 10/1995, de 23 de noviembre, del Código Penal, con varios apartados sobre diferentes materias, pero todos ellos con el objetivo último de adaptación de nuestro ordenamiento a la normativa europea o de modernización del mismo ante las nuevas realidades sociales. El segundo, de modificación de la Ley Orgánica 12/1995, de 12 de diciembre, de Represión del Contrabando para reforzar la sanción de armas de doble uso.  </w:t>
      </w:r>
    </w:p>
    <w:p w14:paraId="0F01F75B" w14:textId="77777777" w:rsidR="002C7583" w:rsidRPr="002C7583" w:rsidRDefault="002C7583" w:rsidP="002C7583">
      <w:pPr>
        <w:spacing w:after="0" w:line="240" w:lineRule="auto"/>
        <w:jc w:val="both"/>
        <w:rPr>
          <w:rFonts w:ascii="Arial" w:eastAsia="Times New Roman" w:hAnsi="Arial" w:cs="Arial"/>
          <w:lang w:eastAsia="es-ES"/>
        </w:rPr>
      </w:pPr>
    </w:p>
    <w:p w14:paraId="597B1115" w14:textId="77777777" w:rsidR="002C7583" w:rsidRPr="002C7583" w:rsidRDefault="002C7583" w:rsidP="002C7583">
      <w:pPr>
        <w:spacing w:after="0" w:line="240" w:lineRule="auto"/>
        <w:jc w:val="both"/>
        <w:rPr>
          <w:rFonts w:ascii="Arial" w:eastAsia="Times New Roman" w:hAnsi="Arial" w:cs="Arial"/>
          <w:lang w:eastAsia="es-ES"/>
        </w:rPr>
      </w:pPr>
      <w:r w:rsidRPr="002C7583">
        <w:rPr>
          <w:rFonts w:ascii="Arial" w:eastAsia="Times New Roman" w:hAnsi="Arial" w:cs="Arial"/>
          <w:lang w:eastAsia="es-ES"/>
        </w:rPr>
        <w:t xml:space="preserve">En primer lugar, esta Proposición de Ley responde a la necesidad de transposición de determinadas Directivas cuya introducción en el Derecho español es urgente. En este sentido, de acuerdo con el principio de cooperación leal, consagrado en el artículo 4.3 del Tratado de la Unión Europea, el cumplimiento de los plazos para la transposición de directivas europeas constituye uno de los principales objetivos que condicionan el diseño de la política legislativa de un Estado miembro. Tal obligación se ha intensificado al constituir en la actualidad uno de los objetivos prioritarios del Consejo Europeo. En el escenario diseñado por el Tratado de Lisboa, la Unión Europea fija como una de sus principales prioridades la construcción del Espacio de Libertad, Seguridad y Justicia en el que, entre otros fines, esté garantizada la adopción de medidas adecuadas para la prevención y la lucha contra la delincuencia. </w:t>
      </w:r>
    </w:p>
    <w:p w14:paraId="614B4737" w14:textId="77777777" w:rsidR="002C7583" w:rsidRPr="002C7583" w:rsidRDefault="002C7583" w:rsidP="002C7583">
      <w:pPr>
        <w:spacing w:after="0" w:line="240" w:lineRule="auto"/>
        <w:jc w:val="both"/>
        <w:rPr>
          <w:rFonts w:ascii="Arial" w:eastAsia="Times New Roman" w:hAnsi="Arial" w:cs="Arial"/>
          <w:lang w:eastAsia="es-ES"/>
        </w:rPr>
      </w:pPr>
    </w:p>
    <w:p w14:paraId="1FF7FB19" w14:textId="77777777" w:rsidR="002C7583" w:rsidRPr="002C7583" w:rsidRDefault="002C7583" w:rsidP="002C7583">
      <w:pPr>
        <w:spacing w:after="0" w:line="240" w:lineRule="auto"/>
        <w:jc w:val="both"/>
        <w:rPr>
          <w:rFonts w:ascii="Arial" w:eastAsia="Times New Roman" w:hAnsi="Arial" w:cs="Arial"/>
          <w:lang w:eastAsia="es-ES"/>
        </w:rPr>
      </w:pPr>
      <w:r w:rsidRPr="002C7583">
        <w:rPr>
          <w:rFonts w:ascii="Arial" w:eastAsia="Times New Roman" w:hAnsi="Arial" w:cs="Arial"/>
          <w:lang w:eastAsia="es-ES"/>
        </w:rPr>
        <w:t>Mediante un itinerario de convergencia y armonización y al amparo del principio general de subsidiariedad reconocido en el artículo 5 del Tratado de la Unión Europea, se establece una serie de «reglas mínimas comunes» para determinados segmentos del Derecho penal especial, los denominados «</w:t>
      </w:r>
      <w:proofErr w:type="spellStart"/>
      <w:r w:rsidRPr="002C7583">
        <w:rPr>
          <w:rFonts w:ascii="Arial" w:eastAsia="Times New Roman" w:hAnsi="Arial" w:cs="Arial"/>
          <w:lang w:eastAsia="es-ES"/>
        </w:rPr>
        <w:t>eurodelitos</w:t>
      </w:r>
      <w:proofErr w:type="spellEnd"/>
      <w:r w:rsidRPr="002C7583">
        <w:rPr>
          <w:rFonts w:ascii="Arial" w:eastAsia="Times New Roman" w:hAnsi="Arial" w:cs="Arial"/>
          <w:lang w:eastAsia="es-ES"/>
        </w:rPr>
        <w:t xml:space="preserve">», siendo aquellos de especial gravedad que tengan una dimensión transfronteriza, incluida la falsificación de medios de pago y la delincuencia informática. Ello implica la necesidad de una ajustada y </w:t>
      </w:r>
      <w:r w:rsidRPr="002C7583">
        <w:rPr>
          <w:rFonts w:ascii="Arial" w:eastAsia="Times New Roman" w:hAnsi="Arial" w:cs="Arial"/>
          <w:lang w:eastAsia="es-ES"/>
        </w:rPr>
        <w:lastRenderedPageBreak/>
        <w:t>diligente transposición al ordenamiento jurídico español, en concreto, de diversas directivas que afectan al ámbito penal sustantivo. Tal es el caso, en primer lugar, de la Directiva (UE) 2019/713 del Parlamento Europeo y del Consejo, de 17 de abril de 2019, sobre la lucha contra el fraude y la falsificación de medios de pago distintos del efectivo y por la que se sustituye la Decisión Marco 2001/413/JAI del Consejo. Asimismo, se perfecciona la transposición de la Directiva 2014/57/UE del Parlamento Europeo y del Consejo, de 16 de abril de 2014, sobre las sanciones penales aplicables al abuso de mercado.</w:t>
      </w:r>
    </w:p>
    <w:p w14:paraId="0768BA10" w14:textId="77777777" w:rsidR="002C7583" w:rsidRPr="002C7583" w:rsidRDefault="002C7583" w:rsidP="002C7583">
      <w:pPr>
        <w:spacing w:after="0" w:line="240" w:lineRule="auto"/>
        <w:jc w:val="both"/>
        <w:rPr>
          <w:rFonts w:ascii="Arial" w:eastAsia="Times New Roman" w:hAnsi="Arial" w:cs="Arial"/>
          <w:lang w:eastAsia="es-ES"/>
        </w:rPr>
      </w:pPr>
    </w:p>
    <w:p w14:paraId="57B6B255" w14:textId="77777777" w:rsidR="002C7583" w:rsidRPr="002C7583" w:rsidRDefault="002C7583" w:rsidP="002C7583">
      <w:pPr>
        <w:spacing w:after="0" w:line="240" w:lineRule="auto"/>
        <w:jc w:val="both"/>
        <w:rPr>
          <w:rFonts w:ascii="Arial" w:eastAsia="Times New Roman" w:hAnsi="Arial" w:cs="Arial"/>
          <w:lang w:eastAsia="es-ES"/>
        </w:rPr>
      </w:pPr>
      <w:r w:rsidRPr="002C7583">
        <w:rPr>
          <w:rFonts w:ascii="Arial" w:eastAsia="Times New Roman" w:hAnsi="Arial" w:cs="Arial"/>
          <w:lang w:eastAsia="es-ES"/>
        </w:rPr>
        <w:t>La Directiva (UE) 2019/713 del Parlamento Europeo y del Consejo, de 17 de abril de 2019, sobre la lucha contra el fraude y la falsificación de medios de pago distintos del efectivo y por la que se sustituye la Decisión Marco 2001/413/JAI del Consejo, se inserta dentro de la línea de la política criminal europea de lucha contra la criminalidad organizada, ámbito en el que los instrumentos de pago no dinerarios se han articulado como un medio para facilitar la obtención y blanqueo de las ganancias obtenidas con dichas acciones delictivas. Al mismo tiempo, el fraude y la falsificación de medios de pago distintos del efectivo, representan un obstáculo para el mercado único digital, ya que socavan la confianza de los consumidores y provocan pérdidas económicas directas, con especial incidencia en el ámbito transnacional.</w:t>
      </w:r>
    </w:p>
    <w:p w14:paraId="16E43B67" w14:textId="77777777" w:rsidR="002C7583" w:rsidRPr="002C7583" w:rsidRDefault="002C7583" w:rsidP="002C7583">
      <w:pPr>
        <w:spacing w:after="0" w:line="240" w:lineRule="auto"/>
        <w:jc w:val="both"/>
        <w:rPr>
          <w:rFonts w:ascii="Arial" w:eastAsia="Times New Roman" w:hAnsi="Arial" w:cs="Arial"/>
          <w:lang w:eastAsia="es-ES"/>
        </w:rPr>
      </w:pPr>
    </w:p>
    <w:p w14:paraId="4CC78DB3" w14:textId="77777777" w:rsidR="002C7583" w:rsidRPr="002C7583" w:rsidRDefault="002C7583" w:rsidP="002C7583">
      <w:pPr>
        <w:spacing w:after="0" w:line="240" w:lineRule="auto"/>
        <w:jc w:val="both"/>
        <w:rPr>
          <w:rFonts w:ascii="Arial" w:eastAsia="Times New Roman" w:hAnsi="Arial" w:cs="Arial"/>
          <w:lang w:eastAsia="es-ES"/>
        </w:rPr>
      </w:pPr>
      <w:r w:rsidRPr="002C7583">
        <w:rPr>
          <w:rFonts w:ascii="Arial" w:eastAsia="Times New Roman" w:hAnsi="Arial" w:cs="Arial"/>
          <w:lang w:eastAsia="es-ES"/>
        </w:rPr>
        <w:t xml:space="preserve">La directiva persigue también ser un complemento y refuerzo, en la esfera digital, de la Directiva 2013/40/UE del Parlamento Europeo y del Consejo, de 12 de agosto de 2013, relativa a los ataques contra los sistemas de información que fue objeto de transposición a nuestro ordenamiento mediante Ley Orgánica 1/2015, de 30 de marzo, por la que se modifica el Código Penal, al abordar un aspecto diferente de la ciberdelincuencia. En este caso, específicamente en los artículos 197 bis y ter, se trató de la tipificación de las interferencias en los sistemas de información –no de las transmisiones personales, que ya estaban tipificadas–, así como la facilitación o la producción de programas informáticos o equipos específicamente diseñados o adaptados para la comisión de estos delitos, además de los supuestos de daños informáticos en los artículos 264 a 264 ter. </w:t>
      </w:r>
    </w:p>
    <w:p w14:paraId="1E93D71C" w14:textId="77777777" w:rsidR="002C7583" w:rsidRPr="002C7583" w:rsidRDefault="002C7583" w:rsidP="002C7583">
      <w:pPr>
        <w:spacing w:after="0" w:line="240" w:lineRule="auto"/>
        <w:jc w:val="both"/>
        <w:rPr>
          <w:rFonts w:ascii="Arial" w:eastAsia="Times New Roman" w:hAnsi="Arial" w:cs="Arial"/>
          <w:lang w:eastAsia="es-ES"/>
        </w:rPr>
      </w:pPr>
    </w:p>
    <w:p w14:paraId="28B000CD" w14:textId="77777777" w:rsidR="002C7583" w:rsidRPr="002C7583" w:rsidRDefault="002C7583" w:rsidP="002C7583">
      <w:pPr>
        <w:spacing w:after="0" w:line="240" w:lineRule="auto"/>
        <w:jc w:val="both"/>
        <w:rPr>
          <w:rFonts w:ascii="Arial" w:eastAsia="Times New Roman" w:hAnsi="Arial" w:cs="Arial"/>
          <w:lang w:eastAsia="es-ES"/>
        </w:rPr>
      </w:pPr>
      <w:r w:rsidRPr="002C7583">
        <w:rPr>
          <w:rFonts w:ascii="Arial" w:eastAsia="Times New Roman" w:hAnsi="Arial" w:cs="Arial"/>
          <w:lang w:eastAsia="es-ES"/>
        </w:rPr>
        <w:t>Igualmente, la presente directiva se complementa con la norma de transposición de la Directiva 2014/62/UE del Parlamento Europeo y del Consejo, de 15 de mayo de 2014, relativa a la protección penal del euro y otras monedas frente a la falsificación, y por la que se sustituye la Decisión marco 2000/383/JAI del Consejo  , efectuada en los artículos 386 y 387 del Código Penal mediante la Ley Orgánica 1/2019, de 20 de febrero, por la que se modifica la Ley Orgánica 10/1995, de 23 de noviembre, del Código Penal, para transponer Directivas de la Unión Europea en los ámbitos financiero y de terrorismo, y abordar cuestiones de índole internacional.</w:t>
      </w:r>
    </w:p>
    <w:p w14:paraId="031B71B9" w14:textId="77777777" w:rsidR="002C7583" w:rsidRPr="002C7583" w:rsidRDefault="002C7583" w:rsidP="002C7583">
      <w:pPr>
        <w:spacing w:after="0" w:line="240" w:lineRule="auto"/>
        <w:jc w:val="both"/>
        <w:rPr>
          <w:rFonts w:ascii="Arial" w:eastAsia="Times New Roman" w:hAnsi="Arial" w:cs="Arial"/>
          <w:lang w:eastAsia="es-ES"/>
        </w:rPr>
      </w:pPr>
    </w:p>
    <w:p w14:paraId="4EE670FE" w14:textId="77777777" w:rsidR="002C7583" w:rsidRPr="002C7583" w:rsidRDefault="002C7583" w:rsidP="002C7583">
      <w:pPr>
        <w:spacing w:after="0" w:line="240" w:lineRule="auto"/>
        <w:jc w:val="both"/>
        <w:rPr>
          <w:rFonts w:ascii="Arial" w:eastAsia="Times New Roman" w:hAnsi="Arial" w:cs="Arial"/>
          <w:lang w:eastAsia="es-ES"/>
        </w:rPr>
      </w:pPr>
      <w:r w:rsidRPr="002C7583">
        <w:rPr>
          <w:rFonts w:ascii="Arial" w:eastAsia="Times New Roman" w:hAnsi="Arial" w:cs="Arial"/>
          <w:lang w:eastAsia="es-ES"/>
        </w:rPr>
        <w:t xml:space="preserve">La relevancia de los delitos informáticos ha sufrido un crecimiento exponencial a lo largo de los años, como consecuencia del incremento del denominado ciberespacio y el consecuente aumento de la </w:t>
      </w:r>
      <w:proofErr w:type="spellStart"/>
      <w:r w:rsidRPr="002C7583">
        <w:rPr>
          <w:rFonts w:ascii="Arial" w:eastAsia="Times New Roman" w:hAnsi="Arial" w:cs="Arial"/>
          <w:lang w:eastAsia="es-ES"/>
        </w:rPr>
        <w:t>ciberpoblación</w:t>
      </w:r>
      <w:proofErr w:type="spellEnd"/>
      <w:r w:rsidRPr="002C7583">
        <w:rPr>
          <w:rFonts w:ascii="Arial" w:eastAsia="Times New Roman" w:hAnsi="Arial" w:cs="Arial"/>
          <w:lang w:eastAsia="es-ES"/>
        </w:rPr>
        <w:t xml:space="preserve"> en el ámbito de Internet. Así, si bien es cierto que España no ha culminado actualmente la trasposición de la directiva, hay que señalar que las estrategias seguidas por el legislador a lo largo de este largo proceso de desarrollo tecnológico han sido entre otras la introducción de figuras penales paralelas </w:t>
      </w:r>
      <w:r w:rsidRPr="002C7583">
        <w:rPr>
          <w:rFonts w:ascii="Arial" w:eastAsia="Times New Roman" w:hAnsi="Arial" w:cs="Arial"/>
          <w:lang w:eastAsia="es-ES"/>
        </w:rPr>
        <w:lastRenderedPageBreak/>
        <w:t>a las tradicionales, en las que se incorpora a cada tipo el equivalente mediante el uso de nuevas tecnologías. De este modo, se han ido cubriendo poco a poco las lagunas de punibilidad, que han ido poniendo de manifiesto la jurisprudencia según surgían nuevas modalidades de comisión de esta clase delitos.</w:t>
      </w:r>
    </w:p>
    <w:p w14:paraId="79898F3F" w14:textId="77777777" w:rsidR="002C7583" w:rsidRPr="002C7583" w:rsidRDefault="002C7583" w:rsidP="002C7583">
      <w:pPr>
        <w:spacing w:after="0" w:line="240" w:lineRule="auto"/>
        <w:jc w:val="both"/>
        <w:rPr>
          <w:rFonts w:ascii="Arial" w:eastAsia="Times New Roman" w:hAnsi="Arial" w:cs="Arial"/>
          <w:lang w:eastAsia="es-ES"/>
        </w:rPr>
      </w:pPr>
    </w:p>
    <w:p w14:paraId="2D4965F7" w14:textId="77777777" w:rsidR="002C7583" w:rsidRPr="002C7583" w:rsidRDefault="002C7583" w:rsidP="002C7583">
      <w:pPr>
        <w:spacing w:after="0" w:line="240" w:lineRule="auto"/>
        <w:jc w:val="both"/>
        <w:rPr>
          <w:rFonts w:ascii="Arial" w:eastAsia="Times New Roman" w:hAnsi="Arial" w:cs="Arial"/>
          <w:lang w:eastAsia="es-ES"/>
        </w:rPr>
      </w:pPr>
      <w:r w:rsidRPr="002C7583">
        <w:rPr>
          <w:rFonts w:ascii="Arial" w:eastAsia="Times New Roman" w:hAnsi="Arial" w:cs="Arial"/>
          <w:lang w:eastAsia="es-ES"/>
        </w:rPr>
        <w:t>Ello facilita la integración, de una manera armónica, de las exigencias normativas derivadas de la Directiva (UE) 2019/713, de 17 de abril, en el texto del vigente Código Penal.</w:t>
      </w:r>
    </w:p>
    <w:p w14:paraId="73D974CB" w14:textId="77777777" w:rsidR="002C7583" w:rsidRPr="002C7583" w:rsidRDefault="002C7583" w:rsidP="002C7583">
      <w:pPr>
        <w:spacing w:after="0" w:line="240" w:lineRule="auto"/>
        <w:jc w:val="both"/>
        <w:rPr>
          <w:rFonts w:ascii="Arial" w:eastAsia="Times New Roman" w:hAnsi="Arial" w:cs="Arial"/>
          <w:lang w:eastAsia="es-ES"/>
        </w:rPr>
      </w:pPr>
    </w:p>
    <w:p w14:paraId="78627532" w14:textId="77777777" w:rsidR="002C7583" w:rsidRPr="002C7583" w:rsidRDefault="002C7583" w:rsidP="002C7583">
      <w:pPr>
        <w:spacing w:after="0" w:line="240" w:lineRule="auto"/>
        <w:jc w:val="both"/>
        <w:rPr>
          <w:rFonts w:ascii="Arial" w:eastAsia="Times New Roman" w:hAnsi="Arial" w:cs="Arial"/>
          <w:lang w:eastAsia="es-ES"/>
        </w:rPr>
      </w:pPr>
      <w:r w:rsidRPr="002C7583">
        <w:rPr>
          <w:rFonts w:ascii="Arial" w:eastAsia="Times New Roman" w:hAnsi="Arial" w:cs="Arial"/>
          <w:lang w:eastAsia="es-ES"/>
        </w:rPr>
        <w:t xml:space="preserve">La directiva, sin embargo, se centra en una regulación conjunta del fraude y de la falsificación de los medios de pago distintos del efectivo, alejándose de la sistemática clásica de nuestro Código Penal, que atiende prioritariamente a los diferentes bienes jurídicos tutelados o puestos en peligro, tales como el patrimonio, la seguridad del tráfico o la fe pública y no al concreto modo de comisión. Al propio tiempo otorga especial relevancia a los medios de pago inmateriales, y entre ellos, los soportes digitales de intercambio. Estos han de ser entendidos como aquellos que permiten efectuar transferencias de dinero electrónico, de monedas virtuales y otros </w:t>
      </w:r>
      <w:proofErr w:type="spellStart"/>
      <w:r w:rsidRPr="002C7583">
        <w:rPr>
          <w:rFonts w:ascii="Arial" w:eastAsia="Times New Roman" w:hAnsi="Arial" w:cs="Arial"/>
          <w:lang w:eastAsia="es-ES"/>
        </w:rPr>
        <w:t>criptoactivos</w:t>
      </w:r>
      <w:proofErr w:type="spellEnd"/>
      <w:r w:rsidRPr="002C7583">
        <w:rPr>
          <w:rFonts w:ascii="Arial" w:eastAsia="Times New Roman" w:hAnsi="Arial" w:cs="Arial"/>
          <w:lang w:eastAsia="es-ES"/>
        </w:rPr>
        <w:t xml:space="preserve">, ahora bien, en estos dos últimos casos, solo en la medida en que puedan usarse de manera habitual para efectuar pagos. Por ello, es palmario que el ámbito de protección que ofrece esta reforma se extiende a las monedas de carácter virtual. Por ello, y a fin de cumplir con el principio de taxatividad propio del Derecho penal, se ha procedido a incluir una cláusula de interpretación auténtica de tales conceptos. Quedan incluidos, por tanto, todos los instrumentos de pago distintos del efectivo, incluidas las monedas virtuales y otros </w:t>
      </w:r>
      <w:proofErr w:type="spellStart"/>
      <w:r w:rsidRPr="002C7583">
        <w:rPr>
          <w:rFonts w:ascii="Arial" w:eastAsia="Times New Roman" w:hAnsi="Arial" w:cs="Arial"/>
          <w:lang w:eastAsia="es-ES"/>
        </w:rPr>
        <w:t>criptoactivos</w:t>
      </w:r>
      <w:proofErr w:type="spellEnd"/>
      <w:r w:rsidRPr="002C7583">
        <w:rPr>
          <w:rFonts w:ascii="Arial" w:eastAsia="Times New Roman" w:hAnsi="Arial" w:cs="Arial"/>
          <w:lang w:eastAsia="es-ES"/>
        </w:rPr>
        <w:t xml:space="preserve"> que se utilicen como medio de pago y los monederos electrónicos en una definición lo suficientemente abierta como para permitir la flexibilidad necesaria para adecuarse a los rápidos avances tecnológicos.</w:t>
      </w:r>
    </w:p>
    <w:p w14:paraId="7436FD44" w14:textId="77777777" w:rsidR="002C7583" w:rsidRPr="002C7583" w:rsidRDefault="002C7583" w:rsidP="002C7583">
      <w:pPr>
        <w:spacing w:after="0" w:line="240" w:lineRule="auto"/>
        <w:jc w:val="both"/>
        <w:rPr>
          <w:rFonts w:ascii="Arial" w:eastAsia="Times New Roman" w:hAnsi="Arial" w:cs="Arial"/>
          <w:lang w:eastAsia="es-ES"/>
        </w:rPr>
      </w:pPr>
    </w:p>
    <w:p w14:paraId="7C9F0E83" w14:textId="77777777" w:rsidR="002C7583" w:rsidRPr="002C7583" w:rsidRDefault="002C7583" w:rsidP="002C7583">
      <w:pPr>
        <w:spacing w:after="0" w:line="240" w:lineRule="auto"/>
        <w:jc w:val="both"/>
        <w:rPr>
          <w:rFonts w:ascii="Arial" w:eastAsia="Times New Roman" w:hAnsi="Arial" w:cs="Arial"/>
          <w:lang w:eastAsia="es-ES"/>
        </w:rPr>
      </w:pPr>
      <w:r w:rsidRPr="002C7583">
        <w:rPr>
          <w:rFonts w:ascii="Arial" w:eastAsia="Times New Roman" w:hAnsi="Arial" w:cs="Arial"/>
          <w:lang w:eastAsia="es-ES"/>
        </w:rPr>
        <w:t>Manteniendo la sistemática de nuestro Código Penal, se ha optado por explicitar todas las conductas cuya tipificación autónoma exige la directiva, bien vinculándolas al ámbito de la estafa (fraude en la denominación de la directiva), esencialmente cuando los medios de pago han sido obtenidos de forma ilícita, bien al de las falsedades (falsificación o alteración fraudulenta en la denominación de la directiva), incluyendo en estos casos tanto la falsificación como su uso fraudulento. Igualmente se tipifican de forma autónoma los actos preparatorios para la comisión de tales conductas.</w:t>
      </w:r>
    </w:p>
    <w:p w14:paraId="7CFCBEAF" w14:textId="77777777" w:rsidR="002C7583" w:rsidRPr="002C7583" w:rsidRDefault="002C7583" w:rsidP="002C7583">
      <w:pPr>
        <w:spacing w:after="0" w:line="240" w:lineRule="auto"/>
        <w:jc w:val="both"/>
        <w:rPr>
          <w:rFonts w:ascii="Arial" w:eastAsia="Times New Roman" w:hAnsi="Arial" w:cs="Arial"/>
          <w:b/>
          <w:lang w:eastAsia="es-ES"/>
        </w:rPr>
      </w:pPr>
      <w:r w:rsidRPr="002C7583">
        <w:rPr>
          <w:rFonts w:ascii="Arial" w:eastAsia="Times New Roman" w:hAnsi="Arial" w:cs="Arial"/>
          <w:lang w:eastAsia="es-ES"/>
        </w:rPr>
        <w:t xml:space="preserve">                                                                                </w:t>
      </w:r>
      <w:r w:rsidRPr="002C7583">
        <w:rPr>
          <w:rFonts w:ascii="Arial" w:eastAsia="Times New Roman" w:hAnsi="Arial" w:cs="Arial"/>
          <w:b/>
          <w:lang w:eastAsia="es-ES"/>
        </w:rPr>
        <w:t>II</w:t>
      </w:r>
    </w:p>
    <w:p w14:paraId="072C2C99" w14:textId="77777777" w:rsidR="002C7583" w:rsidRPr="002C7583" w:rsidRDefault="002C7583" w:rsidP="002C7583">
      <w:pPr>
        <w:spacing w:after="0" w:line="240" w:lineRule="auto"/>
        <w:jc w:val="both"/>
        <w:rPr>
          <w:rFonts w:ascii="Arial" w:eastAsia="Times New Roman" w:hAnsi="Arial" w:cs="Arial"/>
          <w:lang w:eastAsia="es-ES"/>
        </w:rPr>
      </w:pPr>
    </w:p>
    <w:p w14:paraId="44B7A826" w14:textId="77777777" w:rsidR="002C7583" w:rsidRPr="002C7583" w:rsidRDefault="002C7583" w:rsidP="002C7583">
      <w:pPr>
        <w:spacing w:after="0" w:line="240" w:lineRule="auto"/>
        <w:jc w:val="both"/>
        <w:rPr>
          <w:rFonts w:ascii="Arial" w:eastAsia="Times New Roman" w:hAnsi="Arial" w:cs="Arial"/>
          <w:lang w:eastAsia="es-ES"/>
        </w:rPr>
      </w:pPr>
      <w:r w:rsidRPr="002C7583">
        <w:rPr>
          <w:rFonts w:ascii="Arial" w:eastAsia="Times New Roman" w:hAnsi="Arial" w:cs="Arial"/>
          <w:lang w:eastAsia="es-ES"/>
        </w:rPr>
        <w:t xml:space="preserve">La Directiva 2014/57/UE del Parlamento Europeo y del Consejo, de 16 de abril de 2014, sobre las sanciones penales aplicables al abuso de mercado, fue incorporada al ordenamiento jurídico español mediante la Ley Orgánica 1/2019, de 20 de febrero, por la que se modifica la Ley Orgánica 10/1995, de 23 de noviembre, del Código Penal, para transponer directivas de la Unión Europea en los ámbitos financiero y de terrorismo, y abordar cuestiones de índole internacional. </w:t>
      </w:r>
    </w:p>
    <w:p w14:paraId="54BA86FB" w14:textId="77777777" w:rsidR="002C7583" w:rsidRPr="002C7583" w:rsidRDefault="002C7583" w:rsidP="002C7583">
      <w:pPr>
        <w:spacing w:after="0" w:line="240" w:lineRule="auto"/>
        <w:jc w:val="both"/>
        <w:rPr>
          <w:rFonts w:ascii="Arial" w:eastAsia="Times New Roman" w:hAnsi="Arial" w:cs="Arial"/>
          <w:lang w:eastAsia="es-ES"/>
        </w:rPr>
      </w:pPr>
    </w:p>
    <w:p w14:paraId="12D92879" w14:textId="77777777" w:rsidR="002C7583" w:rsidRPr="002C7583" w:rsidRDefault="002C7583" w:rsidP="002C7583">
      <w:pPr>
        <w:spacing w:after="0" w:line="240" w:lineRule="auto"/>
        <w:jc w:val="both"/>
        <w:rPr>
          <w:rFonts w:ascii="Arial" w:eastAsia="Times New Roman" w:hAnsi="Arial" w:cs="Arial"/>
          <w:lang w:eastAsia="es-ES"/>
        </w:rPr>
      </w:pPr>
      <w:r w:rsidRPr="002C7583">
        <w:rPr>
          <w:rFonts w:ascii="Arial" w:eastAsia="Times New Roman" w:hAnsi="Arial" w:cs="Arial"/>
          <w:lang w:eastAsia="es-ES"/>
        </w:rPr>
        <w:t xml:space="preserve">En el artículo primero de esta ley orgánica se incorpora la modificación del apartado 5 del artículo 285 del Código Penal. El apartado 2 del artículo 7 de la Directiva 2014/57/UE, por conexión con el párrafo segundo del apartado 2 de su artículo 3, exige que los delitos relativos a operaciones con información privilegiada cometidos por sujetos que no tienen </w:t>
      </w:r>
      <w:r w:rsidRPr="002C7583">
        <w:rPr>
          <w:rFonts w:ascii="Arial" w:eastAsia="Times New Roman" w:hAnsi="Arial" w:cs="Arial"/>
          <w:lang w:eastAsia="es-ES"/>
        </w:rPr>
        <w:lastRenderedPageBreak/>
        <w:t xml:space="preserve">acceso reservado a la información privilegiada, al igual que el resto de delitos recogidos en el artículo, se castiguen con penas privativas de libertad cuya duración máxima sea de, al menos, cuatro años. La Ley Orgánica 1/2019, de 20 de febrero, no introdujo, sin embargo, esta previsión. </w:t>
      </w:r>
    </w:p>
    <w:p w14:paraId="2FF262E7" w14:textId="77777777" w:rsidR="002C7583" w:rsidRPr="002C7583" w:rsidRDefault="002C7583" w:rsidP="002C7583">
      <w:pPr>
        <w:spacing w:after="0" w:line="240" w:lineRule="auto"/>
        <w:jc w:val="both"/>
        <w:rPr>
          <w:rFonts w:ascii="Arial" w:eastAsia="Times New Roman" w:hAnsi="Arial" w:cs="Arial"/>
          <w:lang w:eastAsia="es-ES"/>
        </w:rPr>
      </w:pPr>
    </w:p>
    <w:p w14:paraId="00C9138F" w14:textId="77777777" w:rsidR="002C7583" w:rsidRPr="002C7583" w:rsidRDefault="002C7583" w:rsidP="002C7583">
      <w:pPr>
        <w:spacing w:after="0" w:line="240" w:lineRule="auto"/>
        <w:jc w:val="both"/>
        <w:rPr>
          <w:rFonts w:ascii="Arial" w:eastAsia="Times New Roman" w:hAnsi="Arial" w:cs="Arial"/>
          <w:lang w:eastAsia="es-ES"/>
        </w:rPr>
      </w:pPr>
      <w:r w:rsidRPr="002C7583">
        <w:rPr>
          <w:rFonts w:ascii="Arial" w:eastAsia="Times New Roman" w:hAnsi="Arial" w:cs="Arial"/>
          <w:lang w:eastAsia="es-ES"/>
        </w:rPr>
        <w:t>Así, la duración máxima de la pena indicada en este apartado en la actualidad resulta inferior a cuatro años, que es la que exige para estos supuestos la Directiva 2014/57/UE. Es por ello que la presente ley orgánica extiende al apartado 5 del artículo 285 la aplicación de las penas señaladas en el resto del artículo para el tipo general del apartado 1 y el tipo agravado del apartado 3, cuya duración máxima sí supera los cuatro años exigidos por la norma europea.</w:t>
      </w:r>
    </w:p>
    <w:p w14:paraId="3D000E0C" w14:textId="77777777" w:rsidR="002C7583" w:rsidRPr="002C7583" w:rsidRDefault="002C7583" w:rsidP="002C7583">
      <w:pPr>
        <w:spacing w:after="0" w:line="240" w:lineRule="auto"/>
        <w:jc w:val="both"/>
        <w:rPr>
          <w:rFonts w:ascii="Arial" w:eastAsia="Times New Roman" w:hAnsi="Arial" w:cs="Arial"/>
          <w:lang w:eastAsia="es-ES"/>
        </w:rPr>
      </w:pPr>
    </w:p>
    <w:p w14:paraId="4627A592" w14:textId="77777777" w:rsidR="002C7583" w:rsidRPr="002C7583" w:rsidRDefault="002C7583" w:rsidP="002C7583">
      <w:pPr>
        <w:spacing w:after="0" w:line="240" w:lineRule="auto"/>
        <w:jc w:val="center"/>
        <w:rPr>
          <w:rFonts w:ascii="Arial" w:eastAsia="Times New Roman" w:hAnsi="Arial" w:cs="Arial"/>
          <w:b/>
          <w:lang w:eastAsia="es-ES"/>
        </w:rPr>
      </w:pPr>
      <w:r w:rsidRPr="002C7583">
        <w:rPr>
          <w:rFonts w:ascii="Arial" w:eastAsia="Times New Roman" w:hAnsi="Arial" w:cs="Arial"/>
          <w:b/>
          <w:lang w:eastAsia="es-ES"/>
        </w:rPr>
        <w:t>III</w:t>
      </w:r>
    </w:p>
    <w:p w14:paraId="7A07B4B7" w14:textId="77777777" w:rsidR="002C7583" w:rsidRPr="002C7583" w:rsidRDefault="002C7583" w:rsidP="002C7583">
      <w:pPr>
        <w:spacing w:after="0" w:line="240" w:lineRule="auto"/>
        <w:jc w:val="both"/>
        <w:rPr>
          <w:rFonts w:ascii="Arial" w:eastAsia="Times New Roman" w:hAnsi="Arial" w:cs="Arial"/>
          <w:lang w:eastAsia="es-ES"/>
        </w:rPr>
      </w:pPr>
    </w:p>
    <w:p w14:paraId="14ACD927" w14:textId="77777777" w:rsidR="002C7583" w:rsidRPr="002C7583" w:rsidRDefault="002C7583" w:rsidP="002C7583">
      <w:pPr>
        <w:spacing w:after="0" w:line="240" w:lineRule="auto"/>
        <w:jc w:val="both"/>
        <w:rPr>
          <w:rFonts w:ascii="Arial" w:eastAsia="Times New Roman" w:hAnsi="Arial" w:cs="Arial"/>
          <w:lang w:eastAsia="es-ES"/>
        </w:rPr>
      </w:pPr>
      <w:r w:rsidRPr="002C7583">
        <w:rPr>
          <w:rFonts w:ascii="Arial" w:eastAsia="Times New Roman" w:hAnsi="Arial" w:cs="Arial"/>
          <w:lang w:eastAsia="es-ES"/>
        </w:rPr>
        <w:t>En segundo lugar, mediante esta Proposición de ley se completa la transposición de la Directiva (UE) 2019/1 del Parlamento Europeo y del Consejo, de 11 de diciembre de 2018 encaminada a dotar a las autoridades de competencia de los Estados miembros de medios para aplicar más eficazmente las normas sobre competencia y garantizar el correcto funcionamiento del mercado interior, conocida como Directiva ECN+.</w:t>
      </w:r>
    </w:p>
    <w:p w14:paraId="46136CA2" w14:textId="77777777" w:rsidR="002C7583" w:rsidRPr="002C7583" w:rsidRDefault="002C7583" w:rsidP="002C7583">
      <w:pPr>
        <w:spacing w:after="0" w:line="240" w:lineRule="auto"/>
        <w:jc w:val="both"/>
        <w:rPr>
          <w:rFonts w:ascii="Arial" w:eastAsia="Times New Roman" w:hAnsi="Arial" w:cs="Arial"/>
          <w:lang w:eastAsia="es-ES"/>
        </w:rPr>
      </w:pPr>
    </w:p>
    <w:p w14:paraId="723B56EB" w14:textId="77777777" w:rsidR="002C7583" w:rsidRPr="002C7583" w:rsidRDefault="002C7583" w:rsidP="002C7583">
      <w:pPr>
        <w:spacing w:after="0" w:line="240" w:lineRule="auto"/>
        <w:jc w:val="both"/>
        <w:rPr>
          <w:rFonts w:ascii="Arial" w:eastAsia="Times New Roman" w:hAnsi="Arial" w:cs="Arial"/>
          <w:lang w:eastAsia="es-ES"/>
        </w:rPr>
      </w:pPr>
      <w:r w:rsidRPr="002C7583">
        <w:rPr>
          <w:rFonts w:ascii="Arial" w:eastAsia="Times New Roman" w:hAnsi="Arial" w:cs="Arial"/>
          <w:lang w:eastAsia="es-ES"/>
        </w:rPr>
        <w:t xml:space="preserve">La Directiva establece determinadas normas para garantizar que las autoridades nacionales de competencia (ANC) dispongan de las garantías de independencia, recursos y competencias de aplicación e imposición de multas, necesarias para poder aplicar efectivamente los artículos 101 y 102 del TFUE, de modo que no se falsee la competencia en el mercado interior y que los consumidores y las empresas no se vean perjudicados por el Derecho y las medidas nacionales que impiden la aplicación eficaz de las normas por parte de las autoridades nacionales de competencia. La implantación de garantías fundamentales que aseguren que las ANC apliquen de manera uniforme y eficaz los artículos 101 y 102 del TFUE lleva a instar a los Estados Miembros a que prevean la exoneración o reducción de la responsabilidad penal de personas que hayan podido cometer un delito relacionado con estas prácticas </w:t>
      </w:r>
      <w:proofErr w:type="spellStart"/>
      <w:r w:rsidRPr="002C7583">
        <w:rPr>
          <w:rFonts w:ascii="Arial" w:eastAsia="Times New Roman" w:hAnsi="Arial" w:cs="Arial"/>
          <w:lang w:eastAsia="es-ES"/>
        </w:rPr>
        <w:t>anticompetencia</w:t>
      </w:r>
      <w:proofErr w:type="spellEnd"/>
      <w:r w:rsidRPr="002C7583">
        <w:rPr>
          <w:rFonts w:ascii="Arial" w:eastAsia="Times New Roman" w:hAnsi="Arial" w:cs="Arial"/>
          <w:lang w:eastAsia="es-ES"/>
        </w:rPr>
        <w:t xml:space="preserve"> y presten cooperación activa en los términos que establece la Directiva. Dice la propia Directiva que, los Estados miembros podrían prever que las autoridades competentes puedan elegir entre la protección a las personas frente a sanciones o solo la atenuación de dichas sanciones, en función del resultado de la evaluación del interés por procesar o por sancionar en función de su contribución a la detección e investigación del cártel. </w:t>
      </w:r>
    </w:p>
    <w:p w14:paraId="69826DEE" w14:textId="77777777" w:rsidR="002C7583" w:rsidRPr="002C7583" w:rsidRDefault="002C7583" w:rsidP="002C7583">
      <w:pPr>
        <w:spacing w:after="0" w:line="240" w:lineRule="auto"/>
        <w:jc w:val="both"/>
        <w:rPr>
          <w:rFonts w:ascii="Arial" w:eastAsia="Times New Roman" w:hAnsi="Arial" w:cs="Arial"/>
          <w:lang w:eastAsia="es-ES"/>
        </w:rPr>
      </w:pPr>
    </w:p>
    <w:p w14:paraId="4BC02757" w14:textId="77777777" w:rsidR="002C7583" w:rsidRPr="002C7583" w:rsidRDefault="002C7583" w:rsidP="002C7583">
      <w:pPr>
        <w:spacing w:after="0" w:line="240" w:lineRule="auto"/>
        <w:jc w:val="both"/>
        <w:rPr>
          <w:rFonts w:ascii="Arial" w:eastAsia="Times New Roman" w:hAnsi="Arial" w:cs="Arial"/>
          <w:lang w:eastAsia="es-ES"/>
        </w:rPr>
      </w:pPr>
      <w:r w:rsidRPr="002C7583">
        <w:rPr>
          <w:rFonts w:ascii="Arial" w:eastAsia="Times New Roman" w:hAnsi="Arial" w:cs="Arial"/>
          <w:lang w:eastAsia="es-ES"/>
        </w:rPr>
        <w:t xml:space="preserve">La Directiva se ha traspuesto parcialmente por Real Decreto-ley 7/2021, de 27 de abril, de transposición de directivas de la Unión Europea en las materias de competencia, prevención del blanqueo de capitales, entidades de crédito, telecomunicaciones, medidas tributarias, prevención y reparación de daños medioambientales, desplazamiento de trabajadores en la prestación de servicios transnacionales y defensa de los consumidores. la transposición por este RD ha sido exclusivamente del apartado 1 del art. 23, relativo a procedimientos administrativos. </w:t>
      </w:r>
    </w:p>
    <w:p w14:paraId="25B21351" w14:textId="77777777" w:rsidR="002C7583" w:rsidRPr="002C7583" w:rsidRDefault="002C7583" w:rsidP="002C7583">
      <w:pPr>
        <w:spacing w:after="0" w:line="240" w:lineRule="auto"/>
        <w:jc w:val="both"/>
        <w:rPr>
          <w:rFonts w:ascii="Arial" w:eastAsia="Times New Roman" w:hAnsi="Arial" w:cs="Arial"/>
          <w:lang w:eastAsia="es-ES"/>
        </w:rPr>
      </w:pPr>
    </w:p>
    <w:p w14:paraId="3B9BD4AE" w14:textId="77777777" w:rsidR="002C7583" w:rsidRPr="002C7583" w:rsidRDefault="002C7583" w:rsidP="002C7583">
      <w:pPr>
        <w:spacing w:after="0" w:line="240" w:lineRule="auto"/>
        <w:jc w:val="both"/>
        <w:rPr>
          <w:rFonts w:ascii="Arial" w:eastAsia="Times New Roman" w:hAnsi="Arial" w:cs="Arial"/>
          <w:lang w:eastAsia="es-ES"/>
        </w:rPr>
      </w:pPr>
      <w:r w:rsidRPr="002C7583">
        <w:rPr>
          <w:rFonts w:ascii="Arial" w:eastAsia="Times New Roman" w:hAnsi="Arial" w:cs="Arial"/>
          <w:lang w:eastAsia="es-ES"/>
        </w:rPr>
        <w:t xml:space="preserve">El Código Penal español sanciona con penas privativas de libertad conductas subsumibles en los artículos 1 y 2 de la Ley de Defensa de la Competencia: la alteración </w:t>
      </w:r>
      <w:r w:rsidRPr="002C7583">
        <w:rPr>
          <w:rFonts w:ascii="Arial" w:eastAsia="Times New Roman" w:hAnsi="Arial" w:cs="Arial"/>
          <w:lang w:eastAsia="es-ES"/>
        </w:rPr>
        <w:lastRenderedPageBreak/>
        <w:t xml:space="preserve">de precios en concursos y subastas públicas (art. 262 CP), la detracción de materias primas o productos de primera necesidad (art. 281 CP) y la alteración de los precios (art. 284.1º CP). </w:t>
      </w:r>
    </w:p>
    <w:p w14:paraId="643AF146" w14:textId="77777777" w:rsidR="002C7583" w:rsidRPr="002C7583" w:rsidRDefault="002C7583" w:rsidP="002C7583">
      <w:pPr>
        <w:spacing w:after="0" w:line="240" w:lineRule="auto"/>
        <w:jc w:val="both"/>
        <w:rPr>
          <w:rFonts w:ascii="Arial" w:eastAsia="Times New Roman" w:hAnsi="Arial" w:cs="Arial"/>
          <w:lang w:eastAsia="es-ES"/>
        </w:rPr>
      </w:pPr>
    </w:p>
    <w:p w14:paraId="4446F102" w14:textId="77777777" w:rsidR="002C7583" w:rsidRPr="002C7583" w:rsidRDefault="002C7583" w:rsidP="002C7583">
      <w:pPr>
        <w:spacing w:after="0" w:line="240" w:lineRule="auto"/>
        <w:jc w:val="both"/>
        <w:rPr>
          <w:rFonts w:ascii="Arial" w:eastAsia="Times New Roman" w:hAnsi="Arial" w:cs="Arial"/>
          <w:lang w:eastAsia="es-ES"/>
        </w:rPr>
      </w:pPr>
      <w:r w:rsidRPr="002C7583">
        <w:rPr>
          <w:rFonts w:ascii="Arial" w:eastAsia="Times New Roman" w:hAnsi="Arial" w:cs="Arial"/>
          <w:lang w:eastAsia="es-ES"/>
        </w:rPr>
        <w:t xml:space="preserve">El apartado 3 del art 23 de la Directiva ECN+ deja libertad a los Estado Miembros para elegir entre no imponer ninguna sanción en el procedimiento judicial penal o solamente para atenuarla, en la medida en que la contribución de las personas, contemplada en el apartado 2, a la detección e investigación del cártel secreto sea mayor que el interés por el enjuiciamiento o la sanción a estas personas. </w:t>
      </w:r>
    </w:p>
    <w:p w14:paraId="7098A6C0" w14:textId="77777777" w:rsidR="002C7583" w:rsidRPr="002C7583" w:rsidRDefault="002C7583" w:rsidP="002C7583">
      <w:pPr>
        <w:spacing w:after="0" w:line="240" w:lineRule="auto"/>
        <w:jc w:val="both"/>
        <w:rPr>
          <w:rFonts w:ascii="Arial" w:eastAsia="Times New Roman" w:hAnsi="Arial" w:cs="Arial"/>
          <w:lang w:eastAsia="es-ES"/>
        </w:rPr>
      </w:pPr>
    </w:p>
    <w:p w14:paraId="2B420977" w14:textId="77777777" w:rsidR="002C7583" w:rsidRPr="002C7583" w:rsidRDefault="002C7583" w:rsidP="002C7583">
      <w:pPr>
        <w:spacing w:after="0" w:line="240" w:lineRule="auto"/>
        <w:jc w:val="both"/>
        <w:rPr>
          <w:rFonts w:ascii="Arial" w:eastAsia="Times New Roman" w:hAnsi="Arial" w:cs="Arial"/>
          <w:lang w:eastAsia="es-ES"/>
        </w:rPr>
      </w:pPr>
      <w:r w:rsidRPr="002C7583">
        <w:rPr>
          <w:rFonts w:ascii="Arial" w:eastAsia="Times New Roman" w:hAnsi="Arial" w:cs="Arial"/>
          <w:lang w:eastAsia="es-ES"/>
        </w:rPr>
        <w:t xml:space="preserve">Si bien en nuestro ordenamiento jurídico penal las medidas premiales basadas en la colaboración con las autoridades por parte del responsable del delito han sido la rebaja o atenuación de penales, tal precedente no puede llevar, sin más, a una solución simplista de la atenuación. Por el contrario, razones relativas conducen a la exención de la responsabilidad criminal. En concreto: </w:t>
      </w:r>
    </w:p>
    <w:p w14:paraId="1F71DB7F" w14:textId="77777777" w:rsidR="002C7583" w:rsidRPr="002C7583" w:rsidRDefault="002C7583" w:rsidP="002C7583">
      <w:pPr>
        <w:spacing w:after="0" w:line="240" w:lineRule="auto"/>
        <w:jc w:val="both"/>
        <w:rPr>
          <w:rFonts w:ascii="Arial" w:eastAsia="Times New Roman" w:hAnsi="Arial" w:cs="Arial"/>
          <w:lang w:eastAsia="es-ES"/>
        </w:rPr>
      </w:pPr>
      <w:r w:rsidRPr="002C7583">
        <w:rPr>
          <w:rFonts w:ascii="Arial" w:eastAsia="Times New Roman" w:hAnsi="Arial" w:cs="Arial"/>
          <w:lang w:eastAsia="es-ES"/>
        </w:rPr>
        <w:t>a) Los acuerdos restrictivos de la competencia no solo perjudican a los consumidores a través del incremento de precios, la reducción de la producción y calidad de bienes y servicios, sino que también privan a la economía del dinamismo y la innovación que producen las presiones competitivas.</w:t>
      </w:r>
    </w:p>
    <w:p w14:paraId="6DFE52A1" w14:textId="77777777" w:rsidR="002C7583" w:rsidRPr="002C7583" w:rsidRDefault="002C7583" w:rsidP="002C7583">
      <w:pPr>
        <w:spacing w:after="0" w:line="240" w:lineRule="auto"/>
        <w:jc w:val="both"/>
        <w:rPr>
          <w:rFonts w:ascii="Arial" w:eastAsia="Times New Roman" w:hAnsi="Arial" w:cs="Arial"/>
          <w:lang w:eastAsia="es-ES"/>
        </w:rPr>
      </w:pPr>
      <w:r w:rsidRPr="002C7583">
        <w:rPr>
          <w:rFonts w:ascii="Arial" w:eastAsia="Times New Roman" w:hAnsi="Arial" w:cs="Arial"/>
          <w:lang w:eastAsia="es-ES"/>
        </w:rPr>
        <w:t>b) La política de clemencia supone un mecanismo efectivo y esencial en la lucha contra conductas anticompetitivas. Busca detectar cárteles secretos mediante la denuncia de alguno de sus integrantes: el informante debe ofrecer a la autoridad de competencia información y pruebas útiles que le permitan perseguir el cartel. Por tanto, contribuyen al enjuiciamiento eficiente y la imposición de sanciones a las infracciones más graves del Derecho de la competencia .</w:t>
      </w:r>
    </w:p>
    <w:p w14:paraId="50B4CCDE" w14:textId="77777777" w:rsidR="002C7583" w:rsidRPr="002C7583" w:rsidRDefault="002C7583" w:rsidP="002C7583">
      <w:pPr>
        <w:spacing w:after="0" w:line="240" w:lineRule="auto"/>
        <w:jc w:val="both"/>
        <w:rPr>
          <w:rFonts w:ascii="Arial" w:eastAsia="Times New Roman" w:hAnsi="Arial" w:cs="Arial"/>
          <w:lang w:eastAsia="es-ES"/>
        </w:rPr>
      </w:pPr>
      <w:r w:rsidRPr="002C7583">
        <w:rPr>
          <w:rFonts w:ascii="Arial" w:eastAsia="Times New Roman" w:hAnsi="Arial" w:cs="Arial"/>
          <w:lang w:eastAsia="es-ES"/>
        </w:rPr>
        <w:t xml:space="preserve">c) La Directiva ECN+ amplía el ámbito subjetivo de los beneficiarios de clemencia para abarcar tanto a los que pueden ser beneficiarios de la misma como a los que pueden solicitarla. En efecto como regla se entiende por las autoridades de competencia que, salvo que la empresa indique expresamente lo contrario, al solicitar la clemencia lo hace también en beneficio de los directivos partícipes en la conducta. Además, se permite que la persona física pueda solicitar a título particular el beneficio de exención, ya no en nombre de la empresa a la que representa, sino en su propio nombre. El que se establezca en favor de las personas físicas la posibilidad de acudir a la ANC para solicitar, en su propio nombre, el beneficio de la clemencia por su participación en un cártel, tiene una relevancia fundamental y potenciadora, puesto que su efecto inmediato es que la persona física ocupe a título individual el primer puesto en el orden de prioridad del programa de clemencia. </w:t>
      </w:r>
    </w:p>
    <w:p w14:paraId="43244D85" w14:textId="77777777" w:rsidR="002C7583" w:rsidRPr="002C7583" w:rsidRDefault="002C7583" w:rsidP="002C7583">
      <w:pPr>
        <w:spacing w:after="0" w:line="240" w:lineRule="auto"/>
        <w:jc w:val="both"/>
        <w:rPr>
          <w:rFonts w:ascii="Arial" w:eastAsia="Times New Roman" w:hAnsi="Arial" w:cs="Arial"/>
          <w:lang w:eastAsia="es-ES"/>
        </w:rPr>
      </w:pPr>
      <w:r w:rsidRPr="002C7583">
        <w:rPr>
          <w:rFonts w:ascii="Arial" w:eastAsia="Times New Roman" w:hAnsi="Arial" w:cs="Arial"/>
          <w:lang w:eastAsia="es-ES"/>
        </w:rPr>
        <w:t xml:space="preserve">d) Finalmente, la mayoría de los Estados Miembros ha optado por la exención de la responsabilidad criminal para los directivos gestores y otros miembros del personal, presentes y pasados, que acuden a los programas de clemencia. En este sentido, cabe citar Francia (apartado IV artículo L. 420-6-1 del Código de Comercio), Italia (art 31 </w:t>
      </w:r>
      <w:proofErr w:type="spellStart"/>
      <w:r w:rsidRPr="002C7583">
        <w:rPr>
          <w:rFonts w:ascii="Arial" w:eastAsia="Times New Roman" w:hAnsi="Arial" w:cs="Arial"/>
          <w:lang w:eastAsia="es-ES"/>
        </w:rPr>
        <w:t>quater</w:t>
      </w:r>
      <w:proofErr w:type="spellEnd"/>
      <w:r w:rsidRPr="002C7583">
        <w:rPr>
          <w:rFonts w:ascii="Arial" w:eastAsia="Times New Roman" w:hAnsi="Arial" w:cs="Arial"/>
          <w:lang w:eastAsia="es-ES"/>
        </w:rPr>
        <w:t xml:space="preserve"> de la Ley de Competencia), Dinamarca o Eslovenia. En Austria se establece como un supuesto de suspensión del procedimiento por razones de oportunidad (al modo del art 176 del </w:t>
      </w:r>
      <w:proofErr w:type="spellStart"/>
      <w:r w:rsidRPr="002C7583">
        <w:rPr>
          <w:rFonts w:ascii="Arial" w:eastAsia="Times New Roman" w:hAnsi="Arial" w:cs="Arial"/>
          <w:lang w:eastAsia="es-ES"/>
        </w:rPr>
        <w:t>APLECrim</w:t>
      </w:r>
      <w:proofErr w:type="spellEnd"/>
      <w:r w:rsidRPr="002C7583">
        <w:rPr>
          <w:rFonts w:ascii="Arial" w:eastAsia="Times New Roman" w:hAnsi="Arial" w:cs="Arial"/>
          <w:lang w:eastAsia="es-ES"/>
        </w:rPr>
        <w:t xml:space="preserve">). Atendiendo a la finalidad de la Directiva y sus consideraciones sobre los programas de clemencia en cuanto instrumento eficaz para la lucha contra los cárteles secretos y un enjuiciamiento eficiente, quedaba pendiente la transposición del artículo 23 de la misma, para la que se propone en el derecho interno </w:t>
      </w:r>
      <w:r w:rsidRPr="002C7583">
        <w:rPr>
          <w:rFonts w:ascii="Arial" w:eastAsia="Times New Roman" w:hAnsi="Arial" w:cs="Arial"/>
          <w:lang w:eastAsia="es-ES"/>
        </w:rPr>
        <w:lastRenderedPageBreak/>
        <w:t xml:space="preserve">que, cuando se dé una cooperación activa por parte de directivos, gestores y otros miembros del personal, actuales y antiguos, de empresa que participan en cártel secreto, en los términos previstos en la Directiva, la consecuencia debe ser la exoneración de la responsabilidad penal. </w:t>
      </w:r>
    </w:p>
    <w:p w14:paraId="62BEBE3B" w14:textId="77777777" w:rsidR="002C7583" w:rsidRPr="002C7583" w:rsidRDefault="002C7583" w:rsidP="002C7583">
      <w:pPr>
        <w:spacing w:after="0" w:line="240" w:lineRule="auto"/>
        <w:jc w:val="both"/>
        <w:rPr>
          <w:rFonts w:ascii="Arial" w:eastAsia="Times New Roman" w:hAnsi="Arial" w:cs="Arial"/>
          <w:lang w:eastAsia="es-ES"/>
        </w:rPr>
      </w:pPr>
    </w:p>
    <w:p w14:paraId="4A94D23F" w14:textId="77777777" w:rsidR="002C7583" w:rsidRPr="002C7583" w:rsidRDefault="002C7583" w:rsidP="002C7583">
      <w:pPr>
        <w:spacing w:after="0" w:line="240" w:lineRule="auto"/>
        <w:jc w:val="center"/>
        <w:rPr>
          <w:rFonts w:ascii="Arial" w:eastAsia="Times New Roman" w:hAnsi="Arial" w:cs="Arial"/>
          <w:b/>
          <w:lang w:eastAsia="es-ES"/>
        </w:rPr>
      </w:pPr>
      <w:r w:rsidRPr="002C7583">
        <w:rPr>
          <w:rFonts w:ascii="Arial" w:eastAsia="Times New Roman" w:hAnsi="Arial" w:cs="Arial"/>
          <w:b/>
          <w:lang w:eastAsia="es-ES"/>
        </w:rPr>
        <w:t>IV</w:t>
      </w:r>
    </w:p>
    <w:p w14:paraId="4A529B8B" w14:textId="77777777" w:rsidR="002C7583" w:rsidRPr="002C7583" w:rsidRDefault="002C7583" w:rsidP="002C7583">
      <w:pPr>
        <w:spacing w:after="0" w:line="240" w:lineRule="auto"/>
        <w:jc w:val="center"/>
        <w:rPr>
          <w:rFonts w:ascii="Arial" w:eastAsia="Times New Roman" w:hAnsi="Arial" w:cs="Arial"/>
          <w:b/>
          <w:lang w:eastAsia="es-ES"/>
        </w:rPr>
      </w:pPr>
    </w:p>
    <w:p w14:paraId="5E260979" w14:textId="77777777" w:rsidR="002C7583" w:rsidRPr="002C7583" w:rsidRDefault="002C7583" w:rsidP="002C7583">
      <w:pPr>
        <w:autoSpaceDE w:val="0"/>
        <w:autoSpaceDN w:val="0"/>
        <w:adjustRightInd w:val="0"/>
        <w:spacing w:after="0" w:line="240" w:lineRule="auto"/>
        <w:jc w:val="both"/>
        <w:rPr>
          <w:rFonts w:ascii="Arial" w:eastAsia="Times New Roman" w:hAnsi="Arial" w:cs="Arial"/>
          <w:lang w:eastAsia="es-ES"/>
        </w:rPr>
      </w:pPr>
      <w:r w:rsidRPr="002C7583">
        <w:rPr>
          <w:rFonts w:ascii="Arial" w:eastAsia="Times New Roman" w:hAnsi="Arial" w:cs="Arial"/>
          <w:lang w:eastAsia="es-ES"/>
        </w:rPr>
        <w:t xml:space="preserve">Se modifica también el artículo 173 del Código Penal, con el objetivo de introducir, dentro de los delitos contra la integridad moral, </w:t>
      </w:r>
      <w:r w:rsidRPr="002C7583">
        <w:rPr>
          <w:rFonts w:ascii="Arial" w:eastAsia="Times New Roman" w:hAnsi="Arial" w:cs="Arial"/>
          <w:strike/>
          <w:lang w:eastAsia="es-ES"/>
        </w:rPr>
        <w:t>de</w:t>
      </w:r>
      <w:r w:rsidRPr="002C7583">
        <w:rPr>
          <w:rFonts w:ascii="Arial" w:eastAsia="Times New Roman" w:hAnsi="Arial" w:cs="Arial"/>
          <w:lang w:eastAsia="es-ES"/>
        </w:rPr>
        <w:t xml:space="preserve"> una específica modalidad delictiva en la que se castigue la ocultación del cadáver, atendiendo al sufrimiento que tal conducta puede ocasionar en los familiares o allegados de la persona fallecida, </w:t>
      </w:r>
      <w:r w:rsidRPr="002C7583">
        <w:rPr>
          <w:rFonts w:ascii="Arial" w:eastAsia="Times New Roman" w:hAnsi="Arial" w:cs="Arial"/>
          <w:strike/>
          <w:lang w:eastAsia="es-ES"/>
        </w:rPr>
        <w:t>y</w:t>
      </w:r>
      <w:r w:rsidRPr="002C7583">
        <w:rPr>
          <w:rFonts w:ascii="Arial" w:eastAsia="Times New Roman" w:hAnsi="Arial" w:cs="Arial"/>
          <w:lang w:eastAsia="es-ES"/>
        </w:rPr>
        <w:t xml:space="preserve"> estableciendo una pena agravada con respecto a la prevista en el párrafo primero del art. 173.</w:t>
      </w:r>
    </w:p>
    <w:p w14:paraId="744648F6" w14:textId="77777777" w:rsidR="002C7583" w:rsidRPr="002C7583" w:rsidRDefault="002C7583" w:rsidP="002C7583">
      <w:pPr>
        <w:autoSpaceDE w:val="0"/>
        <w:autoSpaceDN w:val="0"/>
        <w:adjustRightInd w:val="0"/>
        <w:spacing w:after="0" w:line="240" w:lineRule="auto"/>
        <w:jc w:val="both"/>
        <w:rPr>
          <w:rFonts w:ascii="Arial" w:eastAsia="Times New Roman" w:hAnsi="Arial" w:cs="Arial"/>
          <w:lang w:eastAsia="es-ES"/>
        </w:rPr>
      </w:pPr>
    </w:p>
    <w:p w14:paraId="4769F5AF" w14:textId="77777777" w:rsidR="002C7583" w:rsidRPr="002C7583" w:rsidRDefault="002C7583" w:rsidP="002C7583">
      <w:pPr>
        <w:autoSpaceDE w:val="0"/>
        <w:autoSpaceDN w:val="0"/>
        <w:adjustRightInd w:val="0"/>
        <w:spacing w:after="0" w:line="240" w:lineRule="auto"/>
        <w:jc w:val="both"/>
        <w:rPr>
          <w:rFonts w:ascii="Arial" w:eastAsia="Times New Roman" w:hAnsi="Arial" w:cs="Arial"/>
          <w:lang w:eastAsia="es-ES"/>
        </w:rPr>
      </w:pPr>
      <w:r w:rsidRPr="002C7583">
        <w:rPr>
          <w:rFonts w:ascii="Arial" w:eastAsia="Times New Roman" w:hAnsi="Arial" w:cs="Arial"/>
          <w:lang w:eastAsia="es-ES"/>
        </w:rPr>
        <w:t xml:space="preserve">Esta modificación obedece a que cuando se produce la muerte de una familiar o allegado, la imposibilidad de disponer del cuerpo para darle las honras fúnebres que nuestras costumbres sociales y religiosas prescriben, supone un dolor añadido que se ve especialmente agravado cuando obedece a la actuación de un tercero que oculta el cadáver deliberadamente. Así, en algunos casos de clara notoriedad en los que los responsables de un homicidio o un asesinato se han negado a revelar el paradero del cadáver de su víctima, incluso cuando ya han sido condenados en firme y cuando, en consecuencia, ningún perjuicio penal podría acarrearles dar razón de su paradero, se produce una acción que causa un daño específico a los familiares y allegados de la víctima y que resulta particularmente reprochable. </w:t>
      </w:r>
    </w:p>
    <w:p w14:paraId="47031F34" w14:textId="77777777" w:rsidR="002C7583" w:rsidRPr="002C7583" w:rsidRDefault="002C7583" w:rsidP="002C7583">
      <w:pPr>
        <w:autoSpaceDE w:val="0"/>
        <w:autoSpaceDN w:val="0"/>
        <w:adjustRightInd w:val="0"/>
        <w:spacing w:after="0" w:line="240" w:lineRule="auto"/>
        <w:jc w:val="both"/>
        <w:rPr>
          <w:rFonts w:ascii="Arial" w:eastAsia="Times New Roman" w:hAnsi="Arial" w:cs="Arial"/>
          <w:lang w:eastAsia="es-ES"/>
        </w:rPr>
      </w:pPr>
    </w:p>
    <w:p w14:paraId="5DD0E58E" w14:textId="77777777" w:rsidR="002C7583" w:rsidRPr="002C7583" w:rsidRDefault="002C7583" w:rsidP="002C7583">
      <w:pPr>
        <w:autoSpaceDE w:val="0"/>
        <w:autoSpaceDN w:val="0"/>
        <w:adjustRightInd w:val="0"/>
        <w:spacing w:after="0" w:line="240" w:lineRule="auto"/>
        <w:jc w:val="both"/>
        <w:rPr>
          <w:rFonts w:ascii="Arial" w:eastAsia="Times New Roman" w:hAnsi="Arial" w:cs="Arial"/>
          <w:lang w:eastAsia="es-ES"/>
        </w:rPr>
      </w:pPr>
      <w:r w:rsidRPr="002C7583">
        <w:rPr>
          <w:rFonts w:ascii="Arial" w:eastAsia="Times New Roman" w:hAnsi="Arial" w:cs="Arial"/>
          <w:lang w:eastAsia="es-ES"/>
        </w:rPr>
        <w:t xml:space="preserve">Por ello, resulta necesario que, en estos y otros casos parecidos, el hecho de ocultar el cadáver se castigue penalmente, con independencia de la pena que corresponda, en su caso, por el delito previo que haya ocasionado la muerte, pues se trata de un injusto añadido que merece una respuesta penal diferenciada. Al tratarse de un injusto diferenciado que atenta contra un bien jurídico distinto, el castigo de esta conducta no puede realizarse en el marco de los delitos contra la vida, como el delito de homicidio o el delito de asesinato. </w:t>
      </w:r>
    </w:p>
    <w:p w14:paraId="3203665B" w14:textId="77777777" w:rsidR="002C7583" w:rsidRPr="002C7583" w:rsidRDefault="002C7583" w:rsidP="002C7583">
      <w:pPr>
        <w:autoSpaceDE w:val="0"/>
        <w:autoSpaceDN w:val="0"/>
        <w:adjustRightInd w:val="0"/>
        <w:spacing w:after="0" w:line="240" w:lineRule="auto"/>
        <w:jc w:val="both"/>
        <w:rPr>
          <w:rFonts w:ascii="Arial" w:eastAsia="Times New Roman" w:hAnsi="Arial" w:cs="Arial"/>
          <w:lang w:eastAsia="es-ES"/>
        </w:rPr>
      </w:pPr>
    </w:p>
    <w:p w14:paraId="477A8EDE" w14:textId="77777777" w:rsidR="002C7583" w:rsidRPr="002C7583" w:rsidRDefault="002C7583" w:rsidP="002C7583">
      <w:pPr>
        <w:autoSpaceDE w:val="0"/>
        <w:autoSpaceDN w:val="0"/>
        <w:adjustRightInd w:val="0"/>
        <w:spacing w:after="0" w:line="240" w:lineRule="auto"/>
        <w:jc w:val="both"/>
        <w:rPr>
          <w:rFonts w:ascii="Arial" w:eastAsia="Times New Roman" w:hAnsi="Arial" w:cs="Arial"/>
          <w:lang w:eastAsia="es-ES"/>
        </w:rPr>
      </w:pPr>
      <w:r w:rsidRPr="002C7583">
        <w:rPr>
          <w:rFonts w:ascii="Arial" w:eastAsia="Times New Roman" w:hAnsi="Arial" w:cs="Arial"/>
          <w:lang w:eastAsia="es-ES"/>
        </w:rPr>
        <w:t>Por otra parte, hay que tener en cuenta que, debido precisamente a ese carácter diferenciado, el hecho de ocultar el cadáver también puede merecer un reproche penal cuando quien lo lleva a cabo no se ha visto implicado en ningún delito previo contra la vida.</w:t>
      </w:r>
    </w:p>
    <w:p w14:paraId="43C7C45F" w14:textId="77777777" w:rsidR="002C7583" w:rsidRPr="002C7583" w:rsidRDefault="002C7583" w:rsidP="002C7583">
      <w:pPr>
        <w:autoSpaceDE w:val="0"/>
        <w:autoSpaceDN w:val="0"/>
        <w:adjustRightInd w:val="0"/>
        <w:spacing w:after="0" w:line="240" w:lineRule="auto"/>
        <w:jc w:val="both"/>
        <w:rPr>
          <w:rFonts w:ascii="Arial" w:eastAsia="Times New Roman" w:hAnsi="Arial" w:cs="Arial"/>
          <w:lang w:eastAsia="es-ES"/>
        </w:rPr>
      </w:pPr>
    </w:p>
    <w:p w14:paraId="61C555AA" w14:textId="77777777" w:rsidR="002C7583" w:rsidRPr="002C7583" w:rsidRDefault="002C7583" w:rsidP="002C7583">
      <w:pPr>
        <w:autoSpaceDE w:val="0"/>
        <w:autoSpaceDN w:val="0"/>
        <w:adjustRightInd w:val="0"/>
        <w:spacing w:after="0" w:line="240" w:lineRule="auto"/>
        <w:jc w:val="both"/>
        <w:rPr>
          <w:rFonts w:ascii="Arial" w:eastAsia="Times New Roman" w:hAnsi="Arial" w:cs="Arial"/>
          <w:lang w:eastAsia="es-ES"/>
        </w:rPr>
      </w:pPr>
      <w:r w:rsidRPr="002C7583">
        <w:rPr>
          <w:rFonts w:ascii="Arial" w:eastAsia="Times New Roman" w:hAnsi="Arial" w:cs="Arial"/>
          <w:lang w:eastAsia="es-ES"/>
        </w:rPr>
        <w:t xml:space="preserve">Tampoco en el Derecho comparado la ocultación del cadáver se regula como modalidad agravada o específica de los delitos contra la vida. Por lo general, tal conducta puede dar lugar a un delito contra la dignidad o el respeto de los muertos (art. 412 CP italiano y 168 CP alemán) o a un delito de obstrucción a la justicia (art. 434-7 CP francés), sin diferenciar en ningún caso en función de si quien comete el delito es a su vez el autor de un previo delito de homicidio o asesinato. </w:t>
      </w:r>
    </w:p>
    <w:p w14:paraId="6A743CD6" w14:textId="77777777" w:rsidR="002C7583" w:rsidRPr="002C7583" w:rsidRDefault="002C7583" w:rsidP="002C7583">
      <w:pPr>
        <w:autoSpaceDE w:val="0"/>
        <w:autoSpaceDN w:val="0"/>
        <w:adjustRightInd w:val="0"/>
        <w:spacing w:after="0" w:line="240" w:lineRule="auto"/>
        <w:jc w:val="both"/>
        <w:rPr>
          <w:rFonts w:ascii="Arial" w:eastAsia="Times New Roman" w:hAnsi="Arial" w:cs="Arial"/>
          <w:lang w:eastAsia="es-ES"/>
        </w:rPr>
      </w:pPr>
    </w:p>
    <w:p w14:paraId="084ED508" w14:textId="77777777" w:rsidR="002C7583" w:rsidRPr="002C7583" w:rsidRDefault="002C7583" w:rsidP="002C7583">
      <w:pPr>
        <w:autoSpaceDE w:val="0"/>
        <w:autoSpaceDN w:val="0"/>
        <w:adjustRightInd w:val="0"/>
        <w:spacing w:after="0" w:line="240" w:lineRule="auto"/>
        <w:jc w:val="both"/>
        <w:rPr>
          <w:rFonts w:ascii="Arial" w:eastAsia="Times New Roman" w:hAnsi="Arial" w:cs="Arial"/>
          <w:lang w:eastAsia="es-ES"/>
        </w:rPr>
      </w:pPr>
      <w:r w:rsidRPr="002C7583">
        <w:rPr>
          <w:rFonts w:ascii="Arial" w:eastAsia="Times New Roman" w:hAnsi="Arial" w:cs="Arial"/>
          <w:lang w:eastAsia="es-ES"/>
        </w:rPr>
        <w:t xml:space="preserve">La ocultación del cadáver constituye, más bien, como ha apuntado el propio Tribunal Supremo, un atentado contra la integridad moral de los familiares o allegados, que se </w:t>
      </w:r>
      <w:r w:rsidRPr="002C7583">
        <w:rPr>
          <w:rFonts w:ascii="Arial" w:eastAsia="Times New Roman" w:hAnsi="Arial" w:cs="Arial"/>
          <w:lang w:eastAsia="es-ES"/>
        </w:rPr>
        <w:lastRenderedPageBreak/>
        <w:t>ven privados de esta forma de disponer del cuerpo de la persona querida según sus costumbres o creencias religiosas.</w:t>
      </w:r>
    </w:p>
    <w:p w14:paraId="534F4DFA" w14:textId="77777777" w:rsidR="002C7583" w:rsidRPr="002C7583" w:rsidRDefault="002C7583" w:rsidP="002C7583">
      <w:pPr>
        <w:autoSpaceDE w:val="0"/>
        <w:autoSpaceDN w:val="0"/>
        <w:adjustRightInd w:val="0"/>
        <w:spacing w:after="0" w:line="240" w:lineRule="auto"/>
        <w:jc w:val="both"/>
        <w:rPr>
          <w:rFonts w:ascii="Arial" w:eastAsia="Times New Roman" w:hAnsi="Arial" w:cs="Arial"/>
          <w:lang w:eastAsia="es-ES"/>
        </w:rPr>
      </w:pPr>
    </w:p>
    <w:p w14:paraId="246F40E5" w14:textId="77777777" w:rsidR="002C7583" w:rsidRPr="002C7583" w:rsidRDefault="002C7583" w:rsidP="002C7583">
      <w:pPr>
        <w:autoSpaceDE w:val="0"/>
        <w:autoSpaceDN w:val="0"/>
        <w:adjustRightInd w:val="0"/>
        <w:spacing w:after="0" w:line="240" w:lineRule="auto"/>
        <w:jc w:val="both"/>
        <w:rPr>
          <w:rFonts w:ascii="Arial" w:eastAsia="Times New Roman" w:hAnsi="Arial" w:cs="Arial"/>
          <w:lang w:eastAsia="es-ES"/>
        </w:rPr>
      </w:pPr>
      <w:r w:rsidRPr="002C7583">
        <w:rPr>
          <w:rFonts w:ascii="Arial" w:eastAsia="Times New Roman" w:hAnsi="Arial" w:cs="Arial"/>
          <w:lang w:eastAsia="es-ES"/>
        </w:rPr>
        <w:t>Aunque la regulación actual del delito contra la integridad que se recoge en el art. 173 del Código Penal ya permite castigar el acto de ocultar el cadáver, ante la preocupación social que han generado algunos casos recientes, y visto el especial sufrimiento ocasionado a los familiares y allegados de las víctimas de algunos delitos cuando los responsables se han negado a dar cuenta del paradero del cadáver,  es procedente hacer una referencia expresa en dicho precepto a este tipo de supuestos, contemplado además un agravamiento de la pena por razón del especial desvalor que tal hecho merece.</w:t>
      </w:r>
    </w:p>
    <w:p w14:paraId="5B195932" w14:textId="77777777" w:rsidR="002C7583" w:rsidRPr="002C7583" w:rsidRDefault="002C7583" w:rsidP="002C7583">
      <w:pPr>
        <w:autoSpaceDE w:val="0"/>
        <w:autoSpaceDN w:val="0"/>
        <w:adjustRightInd w:val="0"/>
        <w:spacing w:after="0" w:line="240" w:lineRule="auto"/>
        <w:jc w:val="both"/>
        <w:rPr>
          <w:rFonts w:ascii="Arial" w:eastAsia="Times New Roman" w:hAnsi="Arial" w:cs="Arial"/>
          <w:lang w:eastAsia="es-ES"/>
        </w:rPr>
      </w:pPr>
    </w:p>
    <w:p w14:paraId="767FC25B" w14:textId="77777777" w:rsidR="002C7583" w:rsidRPr="002C7583" w:rsidRDefault="002C7583" w:rsidP="002C7583">
      <w:pPr>
        <w:autoSpaceDE w:val="0"/>
        <w:autoSpaceDN w:val="0"/>
        <w:adjustRightInd w:val="0"/>
        <w:spacing w:after="0" w:line="240" w:lineRule="auto"/>
        <w:jc w:val="both"/>
        <w:rPr>
          <w:rFonts w:ascii="Arial" w:eastAsia="Times New Roman" w:hAnsi="Arial" w:cs="Arial"/>
          <w:lang w:eastAsia="es-ES"/>
        </w:rPr>
      </w:pPr>
    </w:p>
    <w:p w14:paraId="1E500C2E" w14:textId="77777777" w:rsidR="002C7583" w:rsidRPr="002C7583" w:rsidRDefault="002C7583" w:rsidP="002C7583">
      <w:pPr>
        <w:autoSpaceDE w:val="0"/>
        <w:autoSpaceDN w:val="0"/>
        <w:adjustRightInd w:val="0"/>
        <w:spacing w:after="0" w:line="240" w:lineRule="auto"/>
        <w:jc w:val="center"/>
        <w:rPr>
          <w:rFonts w:ascii="Arial" w:eastAsia="Times New Roman" w:hAnsi="Arial" w:cs="Arial"/>
          <w:b/>
          <w:lang w:eastAsia="es-ES"/>
        </w:rPr>
      </w:pPr>
      <w:r w:rsidRPr="002C7583">
        <w:rPr>
          <w:rFonts w:ascii="Arial" w:eastAsia="Times New Roman" w:hAnsi="Arial" w:cs="Arial"/>
          <w:b/>
          <w:lang w:eastAsia="es-ES"/>
        </w:rPr>
        <w:t>V</w:t>
      </w:r>
    </w:p>
    <w:p w14:paraId="7FF00292" w14:textId="77777777" w:rsidR="002C7583" w:rsidRPr="002C7583" w:rsidRDefault="002C7583" w:rsidP="002C7583">
      <w:pPr>
        <w:autoSpaceDE w:val="0"/>
        <w:autoSpaceDN w:val="0"/>
        <w:adjustRightInd w:val="0"/>
        <w:spacing w:after="0" w:line="240" w:lineRule="auto"/>
        <w:jc w:val="center"/>
        <w:rPr>
          <w:rFonts w:ascii="Arial" w:eastAsia="Times New Roman" w:hAnsi="Arial" w:cs="Arial"/>
          <w:lang w:eastAsia="es-ES"/>
        </w:rPr>
      </w:pPr>
    </w:p>
    <w:p w14:paraId="359F8E48" w14:textId="77777777" w:rsidR="002C7583" w:rsidRPr="002C7583" w:rsidRDefault="002C7583" w:rsidP="002C7583">
      <w:pPr>
        <w:autoSpaceDE w:val="0"/>
        <w:autoSpaceDN w:val="0"/>
        <w:adjustRightInd w:val="0"/>
        <w:spacing w:after="0" w:line="240" w:lineRule="auto"/>
        <w:jc w:val="both"/>
        <w:rPr>
          <w:rFonts w:ascii="Arial" w:eastAsia="Times New Roman" w:hAnsi="Arial" w:cs="Arial"/>
          <w:lang w:eastAsia="es-ES"/>
        </w:rPr>
      </w:pPr>
      <w:bookmarkStart w:id="0" w:name="_Hlk118926162"/>
      <w:r w:rsidRPr="002C7583">
        <w:rPr>
          <w:rFonts w:ascii="Arial" w:eastAsia="Times New Roman" w:hAnsi="Arial" w:cs="Arial"/>
          <w:lang w:eastAsia="es-ES"/>
        </w:rPr>
        <w:t xml:space="preserve">Se aborda igualmente la reforma de los delitos contra el orden público del Título XXII de la Ley Orgánica 10/1995, de 23 de noviembre, del Código Penal. </w:t>
      </w:r>
    </w:p>
    <w:p w14:paraId="452221B8" w14:textId="77777777" w:rsidR="002C7583" w:rsidRPr="002C7583" w:rsidRDefault="002C7583" w:rsidP="002C7583">
      <w:pPr>
        <w:autoSpaceDE w:val="0"/>
        <w:autoSpaceDN w:val="0"/>
        <w:adjustRightInd w:val="0"/>
        <w:spacing w:after="0" w:line="240" w:lineRule="auto"/>
        <w:jc w:val="both"/>
        <w:rPr>
          <w:rFonts w:ascii="Arial" w:eastAsia="Times New Roman" w:hAnsi="Arial" w:cs="Arial"/>
          <w:lang w:eastAsia="es-ES"/>
        </w:rPr>
      </w:pPr>
    </w:p>
    <w:p w14:paraId="49746736" w14:textId="77777777" w:rsidR="002C7583" w:rsidRPr="002C7583" w:rsidRDefault="002C7583" w:rsidP="002C7583">
      <w:pPr>
        <w:autoSpaceDE w:val="0"/>
        <w:autoSpaceDN w:val="0"/>
        <w:adjustRightInd w:val="0"/>
        <w:spacing w:after="0" w:line="240" w:lineRule="auto"/>
        <w:jc w:val="both"/>
        <w:rPr>
          <w:rFonts w:ascii="Arial" w:eastAsia="Times New Roman" w:hAnsi="Arial" w:cs="Arial"/>
          <w:lang w:eastAsia="es-ES"/>
        </w:rPr>
      </w:pPr>
      <w:r w:rsidRPr="002C7583">
        <w:rPr>
          <w:rFonts w:ascii="Arial" w:eastAsia="Times New Roman" w:hAnsi="Arial" w:cs="Arial"/>
          <w:lang w:eastAsia="es-ES"/>
        </w:rPr>
        <w:t>La revisión de este título persigue los siguientes objetivos: en primer lugar, armonizar la legislación española sobre esta materia con la de los países de nuestro entorno; en segundo lugar, adecuar su regulación a la realidad histórica actual, que resulta muy diferente de aquella en la que fueron concebidas algunas figuras; en tercer lugar, mejorar la redacción y clarificar la estructura de los tipos penales afectados.</w:t>
      </w:r>
    </w:p>
    <w:p w14:paraId="11A85484" w14:textId="77777777" w:rsidR="002C7583" w:rsidRPr="002C7583" w:rsidRDefault="002C7583" w:rsidP="002C7583">
      <w:pPr>
        <w:autoSpaceDE w:val="0"/>
        <w:autoSpaceDN w:val="0"/>
        <w:adjustRightInd w:val="0"/>
        <w:spacing w:after="0" w:line="240" w:lineRule="auto"/>
        <w:jc w:val="both"/>
        <w:rPr>
          <w:rFonts w:ascii="Arial" w:eastAsia="Times New Roman" w:hAnsi="Arial" w:cs="Arial"/>
          <w:lang w:eastAsia="es-ES"/>
        </w:rPr>
      </w:pPr>
    </w:p>
    <w:p w14:paraId="01BF13E3" w14:textId="77777777" w:rsidR="002C7583" w:rsidRPr="002C7583" w:rsidRDefault="002C7583" w:rsidP="002C7583">
      <w:pPr>
        <w:autoSpaceDE w:val="0"/>
        <w:autoSpaceDN w:val="0"/>
        <w:adjustRightInd w:val="0"/>
        <w:spacing w:after="0" w:line="240" w:lineRule="auto"/>
        <w:jc w:val="both"/>
        <w:rPr>
          <w:rFonts w:ascii="Arial" w:eastAsia="Times New Roman" w:hAnsi="Arial" w:cs="Arial"/>
          <w:lang w:eastAsia="es-ES"/>
        </w:rPr>
      </w:pPr>
      <w:r w:rsidRPr="002C7583">
        <w:rPr>
          <w:rFonts w:ascii="Arial" w:eastAsia="Times New Roman" w:hAnsi="Arial" w:cs="Arial"/>
          <w:lang w:eastAsia="es-ES"/>
        </w:rPr>
        <w:t>El tipo de sedición del artículo 544 del vigente Código penal fue introducido en el ordenamiento español a través del Código Penal de 1822 bajo el título siguiente: “De los delitos contra la seguridad interior del estado, y contra la tranquilidad y orden público”. Y, en la actualidad, mantiene prácticamente inalterada su redacción original, si bien su reciente aplicación ha permitido establecer criterios interpretativos, sobre todo en lo referido a la intensidad de la afectación del orden público y el uso de la violencia, que se ven reflejados en la presente reforma.</w:t>
      </w:r>
    </w:p>
    <w:p w14:paraId="1A6AAD54" w14:textId="77777777" w:rsidR="002C7583" w:rsidRPr="002C7583" w:rsidRDefault="002C7583" w:rsidP="002C7583">
      <w:pPr>
        <w:autoSpaceDE w:val="0"/>
        <w:autoSpaceDN w:val="0"/>
        <w:adjustRightInd w:val="0"/>
        <w:spacing w:after="0" w:line="240" w:lineRule="auto"/>
        <w:jc w:val="both"/>
        <w:rPr>
          <w:rFonts w:ascii="Arial" w:eastAsia="Times New Roman" w:hAnsi="Arial" w:cs="Arial"/>
          <w:lang w:eastAsia="es-ES"/>
        </w:rPr>
      </w:pPr>
    </w:p>
    <w:p w14:paraId="09883C66" w14:textId="77777777" w:rsidR="002C7583" w:rsidRPr="002C7583" w:rsidRDefault="002C7583" w:rsidP="002C7583">
      <w:pPr>
        <w:autoSpaceDE w:val="0"/>
        <w:autoSpaceDN w:val="0"/>
        <w:adjustRightInd w:val="0"/>
        <w:spacing w:after="0" w:line="240" w:lineRule="auto"/>
        <w:jc w:val="both"/>
        <w:rPr>
          <w:rFonts w:ascii="Arial" w:eastAsia="Times New Roman" w:hAnsi="Arial" w:cs="Arial"/>
          <w:lang w:eastAsia="es-ES"/>
        </w:rPr>
      </w:pPr>
      <w:r w:rsidRPr="002C7583">
        <w:rPr>
          <w:rFonts w:ascii="Arial" w:eastAsia="Times New Roman" w:hAnsi="Arial" w:cs="Arial"/>
          <w:lang w:eastAsia="es-ES"/>
        </w:rPr>
        <w:t xml:space="preserve">Desde un principio, la conducta típica de este delito se ha basado en el alzamiento para la consecución de ciertos objetivos. Ya el artículo 250 del Código Penal de 1870 consideraba reos de este delito a los que se alzaren pública y tumultuariamente para conseguir por la fuerza o fuera de las vías legales determinados objetivos, tal y como hace actualmente el art. 544 del Código penal de 1995.  A lo largo de los años se han ido introduciendo mínimas variaciones en cuanto a los objetivos concretos que en este delito debía perseguir el alzamiento, pero apenas se ha modificado el elemento central de la conducta típica. </w:t>
      </w:r>
    </w:p>
    <w:p w14:paraId="4A81C71B" w14:textId="77777777" w:rsidR="002C7583" w:rsidRPr="002C7583" w:rsidRDefault="002C7583" w:rsidP="002C7583">
      <w:pPr>
        <w:autoSpaceDE w:val="0"/>
        <w:autoSpaceDN w:val="0"/>
        <w:adjustRightInd w:val="0"/>
        <w:spacing w:after="0" w:line="240" w:lineRule="auto"/>
        <w:jc w:val="both"/>
        <w:rPr>
          <w:rFonts w:ascii="Arial" w:eastAsia="Times New Roman" w:hAnsi="Arial" w:cs="Arial"/>
          <w:lang w:eastAsia="es-ES"/>
        </w:rPr>
      </w:pPr>
    </w:p>
    <w:p w14:paraId="6FC03D88" w14:textId="77777777" w:rsidR="002C7583" w:rsidRPr="002C7583" w:rsidRDefault="002C7583" w:rsidP="002C7583">
      <w:pPr>
        <w:autoSpaceDE w:val="0"/>
        <w:autoSpaceDN w:val="0"/>
        <w:adjustRightInd w:val="0"/>
        <w:spacing w:after="0" w:line="240" w:lineRule="auto"/>
        <w:jc w:val="both"/>
        <w:rPr>
          <w:rFonts w:ascii="Arial" w:eastAsia="Times New Roman" w:hAnsi="Arial" w:cs="Arial"/>
          <w:lang w:eastAsia="es-ES"/>
        </w:rPr>
      </w:pPr>
      <w:r w:rsidRPr="002C7583">
        <w:rPr>
          <w:rFonts w:ascii="Arial" w:eastAsia="Times New Roman" w:hAnsi="Arial" w:cs="Arial"/>
          <w:lang w:eastAsia="es-ES"/>
        </w:rPr>
        <w:t>La reforma más importante en esta materia se produce con la aprobación del Código Penal de 1995, que reubica el delito de sedición para configurarlo como un delito contra el orden público, con una tipificación y una pena que no se ajustan a los mejores estándares de los países de nuestro entorno.</w:t>
      </w:r>
      <w:r w:rsidRPr="002C7583">
        <w:rPr>
          <w:rFonts w:ascii="Arial" w:eastAsia="Times New Roman" w:hAnsi="Arial" w:cs="Arial"/>
          <w:strike/>
          <w:lang w:eastAsia="es-ES"/>
        </w:rPr>
        <w:t xml:space="preserve"> </w:t>
      </w:r>
    </w:p>
    <w:p w14:paraId="3D058BBC" w14:textId="77777777" w:rsidR="002C7583" w:rsidRPr="002C7583" w:rsidRDefault="002C7583" w:rsidP="002C7583">
      <w:pPr>
        <w:autoSpaceDE w:val="0"/>
        <w:autoSpaceDN w:val="0"/>
        <w:adjustRightInd w:val="0"/>
        <w:spacing w:after="0" w:line="240" w:lineRule="auto"/>
        <w:jc w:val="both"/>
        <w:rPr>
          <w:rFonts w:ascii="Arial" w:eastAsia="Times New Roman" w:hAnsi="Arial" w:cs="Arial"/>
          <w:lang w:eastAsia="es-ES"/>
        </w:rPr>
      </w:pPr>
    </w:p>
    <w:p w14:paraId="18CE728E" w14:textId="77777777" w:rsidR="002C7583" w:rsidRPr="002C7583" w:rsidRDefault="002C7583" w:rsidP="002C7583">
      <w:pPr>
        <w:autoSpaceDE w:val="0"/>
        <w:autoSpaceDN w:val="0"/>
        <w:adjustRightInd w:val="0"/>
        <w:spacing w:after="0" w:line="240" w:lineRule="auto"/>
        <w:jc w:val="both"/>
        <w:rPr>
          <w:rFonts w:ascii="Arial" w:eastAsia="Times New Roman" w:hAnsi="Arial" w:cs="Arial"/>
          <w:lang w:eastAsia="es-ES"/>
        </w:rPr>
      </w:pPr>
      <w:r w:rsidRPr="002C7583">
        <w:rPr>
          <w:rFonts w:ascii="Arial" w:eastAsia="Times New Roman" w:hAnsi="Arial" w:cs="Arial"/>
          <w:lang w:eastAsia="es-ES"/>
        </w:rPr>
        <w:lastRenderedPageBreak/>
        <w:t>La escasa aplicación que hasta fechas recientes ha experimentado este delito ha impedido apreciar con claridad los graves problemas de interpretación que se derivan de la difícil delimitación del tipo penal y de la confusa definición de la conducta típica.</w:t>
      </w:r>
    </w:p>
    <w:p w14:paraId="430D8176" w14:textId="77777777" w:rsidR="002C7583" w:rsidRPr="002C7583" w:rsidRDefault="002C7583" w:rsidP="002C7583">
      <w:pPr>
        <w:autoSpaceDE w:val="0"/>
        <w:autoSpaceDN w:val="0"/>
        <w:adjustRightInd w:val="0"/>
        <w:spacing w:after="0" w:line="240" w:lineRule="auto"/>
        <w:jc w:val="both"/>
        <w:rPr>
          <w:rFonts w:ascii="Arial" w:eastAsia="Times New Roman" w:hAnsi="Arial" w:cs="Arial"/>
          <w:lang w:eastAsia="es-ES"/>
        </w:rPr>
      </w:pPr>
      <w:r w:rsidRPr="002C7583">
        <w:rPr>
          <w:rFonts w:ascii="Arial" w:eastAsia="Times New Roman" w:hAnsi="Arial" w:cs="Arial"/>
          <w:lang w:eastAsia="es-ES"/>
        </w:rPr>
        <w:t xml:space="preserve"> </w:t>
      </w:r>
    </w:p>
    <w:p w14:paraId="782C5777" w14:textId="77777777" w:rsidR="002C7583" w:rsidRPr="002C7583" w:rsidRDefault="002C7583" w:rsidP="002C7583">
      <w:pPr>
        <w:autoSpaceDE w:val="0"/>
        <w:autoSpaceDN w:val="0"/>
        <w:adjustRightInd w:val="0"/>
        <w:spacing w:after="0" w:line="240" w:lineRule="auto"/>
        <w:jc w:val="both"/>
        <w:rPr>
          <w:rFonts w:ascii="Arial" w:eastAsia="Times New Roman" w:hAnsi="Arial" w:cs="Arial"/>
          <w:lang w:eastAsia="es-ES"/>
        </w:rPr>
      </w:pPr>
      <w:r w:rsidRPr="002C7583">
        <w:rPr>
          <w:rFonts w:ascii="Arial" w:eastAsia="Times New Roman" w:hAnsi="Arial" w:cs="Arial"/>
          <w:lang w:eastAsia="es-ES"/>
        </w:rPr>
        <w:t xml:space="preserve">La doctrina ha criticado efectivamente la falta de claridad acerca del contenido y alcance del tipo delictivo de sedición, circunstancia ésta que opera en contra del mandato de certeza propio del principio de legalidad penal. Tampoco puede obviarse, por otra parte, el hecho de que la comisión de este delito puede presentarse vinculada en su desarrollo al ejercicio de derechos y libertades fundamentales como el derecho de reunión o la libertad de expresión. Conviene, en este sentido, evitar un posible efecto disuasorio sobre el ejercicio de tales derechos y libertades constitucionales, lo que hace particularmente necesario precisar cuál es exactamente la conducta castigada y de qué forma lesiona o pone en peligro el bien penalmente protegido. </w:t>
      </w:r>
    </w:p>
    <w:p w14:paraId="58247AFF" w14:textId="77777777" w:rsidR="002C7583" w:rsidRPr="002C7583" w:rsidRDefault="002C7583" w:rsidP="002C7583">
      <w:pPr>
        <w:autoSpaceDE w:val="0"/>
        <w:autoSpaceDN w:val="0"/>
        <w:adjustRightInd w:val="0"/>
        <w:spacing w:after="0" w:line="240" w:lineRule="auto"/>
        <w:jc w:val="both"/>
        <w:rPr>
          <w:rFonts w:ascii="Arial" w:eastAsia="Times New Roman" w:hAnsi="Arial" w:cs="Arial"/>
          <w:lang w:eastAsia="es-ES"/>
        </w:rPr>
      </w:pPr>
    </w:p>
    <w:p w14:paraId="0A8F71C4" w14:textId="77777777" w:rsidR="002C7583" w:rsidRPr="002C7583" w:rsidRDefault="002C7583" w:rsidP="002C7583">
      <w:pPr>
        <w:autoSpaceDE w:val="0"/>
        <w:autoSpaceDN w:val="0"/>
        <w:adjustRightInd w:val="0"/>
        <w:spacing w:after="0" w:line="240" w:lineRule="auto"/>
        <w:jc w:val="both"/>
        <w:rPr>
          <w:rFonts w:ascii="Arial" w:eastAsia="Times New Roman" w:hAnsi="Arial" w:cs="Arial"/>
          <w:lang w:eastAsia="es-ES"/>
        </w:rPr>
      </w:pPr>
      <w:r w:rsidRPr="002C7583">
        <w:rPr>
          <w:rFonts w:ascii="Arial" w:eastAsia="Times New Roman" w:hAnsi="Arial" w:cs="Arial"/>
          <w:lang w:eastAsia="es-ES"/>
        </w:rPr>
        <w:t>De igual forma, debe fortalecerse la importancia del principio de proporcionalidad a la hora de establecer la pena hasta ahora asociada a este delito. Destaca la elevada gravedad de las penas previstas hasta la fecha, teniendo en cuenta no la sólo amplitud con la que se define la conducta típica, sino también el marco penal en el que se mueven estos delitos en otros ordenamientos jurídicos europeos.</w:t>
      </w:r>
    </w:p>
    <w:p w14:paraId="3C0C199C" w14:textId="77777777" w:rsidR="002C7583" w:rsidRPr="002C7583" w:rsidRDefault="002C7583" w:rsidP="002C7583">
      <w:pPr>
        <w:autoSpaceDE w:val="0"/>
        <w:autoSpaceDN w:val="0"/>
        <w:adjustRightInd w:val="0"/>
        <w:spacing w:after="0" w:line="240" w:lineRule="auto"/>
        <w:jc w:val="both"/>
        <w:rPr>
          <w:rFonts w:ascii="Arial" w:eastAsia="Times New Roman" w:hAnsi="Arial" w:cs="Arial"/>
          <w:lang w:eastAsia="es-ES"/>
        </w:rPr>
      </w:pPr>
    </w:p>
    <w:p w14:paraId="373F525C" w14:textId="77777777" w:rsidR="002C7583" w:rsidRPr="002C7583" w:rsidRDefault="002C7583" w:rsidP="002C7583">
      <w:pPr>
        <w:autoSpaceDE w:val="0"/>
        <w:autoSpaceDN w:val="0"/>
        <w:adjustRightInd w:val="0"/>
        <w:spacing w:after="0" w:line="240" w:lineRule="auto"/>
        <w:jc w:val="both"/>
        <w:rPr>
          <w:rFonts w:ascii="Arial" w:eastAsia="Times New Roman" w:hAnsi="Arial" w:cs="Arial"/>
          <w:lang w:eastAsia="es-ES"/>
        </w:rPr>
      </w:pPr>
      <w:r w:rsidRPr="002C7583">
        <w:rPr>
          <w:rFonts w:ascii="Arial" w:eastAsia="Times New Roman" w:hAnsi="Arial" w:cs="Arial"/>
          <w:lang w:eastAsia="es-ES"/>
        </w:rPr>
        <w:t>Los problemas de proporcionalidad se agudizan por la defectuosa delimitación que actualmente se hace entre la sedición y otros delitos o infracciones administrativas basados igualmente en una alteración del orden público que implique resistencia o desobediencia a la autoridad, que en algunos casos requieren además una conducta violenta o intimidatoria. Y es que, una vez que el delito de sedición es claramente separado del delito de rebelión y pasa a ser configurado como un delito contra el orden público, resulta complicado precisar el lugar sistemático que le corresponde en relación con otros delitos que atentan contra este mismo bien jurídico. De hecho, en otros ordenamientos es difícil encontrar un delito específico que pueda identificarse con este delito de sedición del artículo 544 del Código Penal.</w:t>
      </w:r>
    </w:p>
    <w:p w14:paraId="1347615A" w14:textId="77777777" w:rsidR="002C7583" w:rsidRPr="002C7583" w:rsidRDefault="002C7583" w:rsidP="002C7583">
      <w:pPr>
        <w:autoSpaceDE w:val="0"/>
        <w:autoSpaceDN w:val="0"/>
        <w:adjustRightInd w:val="0"/>
        <w:spacing w:after="0" w:line="240" w:lineRule="auto"/>
        <w:jc w:val="both"/>
        <w:rPr>
          <w:rFonts w:ascii="Arial" w:eastAsia="Times New Roman" w:hAnsi="Arial" w:cs="Arial"/>
          <w:lang w:eastAsia="es-ES"/>
        </w:rPr>
      </w:pPr>
    </w:p>
    <w:p w14:paraId="346E6993" w14:textId="77777777" w:rsidR="002C7583" w:rsidRPr="002C7583" w:rsidRDefault="002C7583" w:rsidP="002C7583">
      <w:pPr>
        <w:autoSpaceDE w:val="0"/>
        <w:autoSpaceDN w:val="0"/>
        <w:adjustRightInd w:val="0"/>
        <w:spacing w:after="0" w:line="240" w:lineRule="auto"/>
        <w:jc w:val="both"/>
        <w:rPr>
          <w:rFonts w:ascii="Arial" w:eastAsia="Times New Roman" w:hAnsi="Arial" w:cs="Arial"/>
          <w:lang w:eastAsia="es-ES"/>
        </w:rPr>
      </w:pPr>
      <w:r w:rsidRPr="002C7583">
        <w:rPr>
          <w:rFonts w:ascii="Arial" w:eastAsia="Times New Roman" w:hAnsi="Arial" w:cs="Arial"/>
          <w:lang w:eastAsia="es-ES"/>
        </w:rPr>
        <w:t>A la vista de la regulación que de estos comportamientos llevan a cabo los países con los que España comparte tradición jurídica y resultaba imprescindible revisar el tratamiento que el Código Penal español viene realizando de los delitos contra el orden público.</w:t>
      </w:r>
    </w:p>
    <w:p w14:paraId="0AD508DE" w14:textId="77777777" w:rsidR="002C7583" w:rsidRPr="002C7583" w:rsidRDefault="002C7583" w:rsidP="002C7583">
      <w:pPr>
        <w:autoSpaceDE w:val="0"/>
        <w:autoSpaceDN w:val="0"/>
        <w:adjustRightInd w:val="0"/>
        <w:spacing w:after="0" w:line="240" w:lineRule="auto"/>
        <w:jc w:val="both"/>
        <w:rPr>
          <w:rFonts w:ascii="Arial" w:eastAsia="Times New Roman" w:hAnsi="Arial" w:cs="Arial"/>
          <w:lang w:eastAsia="es-ES"/>
        </w:rPr>
      </w:pPr>
    </w:p>
    <w:p w14:paraId="29C1E5AC" w14:textId="77777777" w:rsidR="002C7583" w:rsidRPr="002C7583" w:rsidRDefault="002C7583" w:rsidP="002C7583">
      <w:pPr>
        <w:autoSpaceDE w:val="0"/>
        <w:autoSpaceDN w:val="0"/>
        <w:adjustRightInd w:val="0"/>
        <w:spacing w:after="0" w:line="240" w:lineRule="auto"/>
        <w:jc w:val="both"/>
        <w:rPr>
          <w:rFonts w:ascii="Arial" w:eastAsia="Times New Roman" w:hAnsi="Arial" w:cs="Arial"/>
          <w:lang w:eastAsia="es-ES"/>
        </w:rPr>
      </w:pPr>
      <w:r w:rsidRPr="002C7583">
        <w:rPr>
          <w:rFonts w:ascii="Arial" w:eastAsia="Times New Roman" w:hAnsi="Arial" w:cs="Arial"/>
          <w:lang w:eastAsia="es-ES"/>
        </w:rPr>
        <w:t xml:space="preserve">Es deber del Estado dotar al ordenamiento de tipos penales que permitan dar la respuesta jurídica más adecuada a los nuevos retos para la convivencia que plantea el presente y que, como es lógico, no son recogidos en toda su complejidad en una legislación de hace dos siglos. </w:t>
      </w:r>
    </w:p>
    <w:p w14:paraId="0E94B3BB" w14:textId="77777777" w:rsidR="002C7583" w:rsidRPr="002C7583" w:rsidRDefault="002C7583" w:rsidP="002C7583">
      <w:pPr>
        <w:autoSpaceDE w:val="0"/>
        <w:autoSpaceDN w:val="0"/>
        <w:adjustRightInd w:val="0"/>
        <w:spacing w:after="0" w:line="240" w:lineRule="auto"/>
        <w:jc w:val="both"/>
        <w:rPr>
          <w:rFonts w:ascii="Arial" w:eastAsia="Times New Roman" w:hAnsi="Arial" w:cs="Arial"/>
          <w:lang w:eastAsia="es-ES"/>
        </w:rPr>
      </w:pPr>
    </w:p>
    <w:p w14:paraId="79BFC1E8" w14:textId="77777777" w:rsidR="002C7583" w:rsidRPr="002C7583" w:rsidRDefault="002C7583" w:rsidP="002C7583">
      <w:pPr>
        <w:autoSpaceDE w:val="0"/>
        <w:autoSpaceDN w:val="0"/>
        <w:adjustRightInd w:val="0"/>
        <w:spacing w:after="0" w:line="240" w:lineRule="auto"/>
        <w:jc w:val="both"/>
        <w:rPr>
          <w:rFonts w:ascii="Arial" w:eastAsia="Times New Roman" w:hAnsi="Arial" w:cs="Arial"/>
          <w:lang w:eastAsia="es-ES"/>
        </w:rPr>
      </w:pPr>
      <w:r w:rsidRPr="002C7583">
        <w:rPr>
          <w:rFonts w:ascii="Arial" w:eastAsia="Times New Roman" w:hAnsi="Arial" w:cs="Arial"/>
          <w:lang w:eastAsia="es-ES"/>
        </w:rPr>
        <w:t xml:space="preserve">De este modo, la reciente aplicación de este precepto ha puesto de manifiesto imprecisiones normativas de dudosa compatibilidad con el principio de legalidad penal y al principio de proporcionalidad. Unas imprecisiones, además, que se suman al carácter obsoleto y carente de reflejo en la legislación de los países europeos de nuestro entorno jurídico. Todos estos factores aconsejan abordar de forma simultánea la supresión de esta figura a la vez que se acomete una reforma integral de otros tipos </w:t>
      </w:r>
      <w:r w:rsidRPr="002C7583">
        <w:rPr>
          <w:rFonts w:ascii="Arial" w:eastAsia="Times New Roman" w:hAnsi="Arial" w:cs="Arial"/>
          <w:lang w:eastAsia="es-ES"/>
        </w:rPr>
        <w:lastRenderedPageBreak/>
        <w:t>penales para centrar la acción legislativa en materia penal en la protección del bien jurídico del orden público.</w:t>
      </w:r>
    </w:p>
    <w:p w14:paraId="4C7ECB3B" w14:textId="77777777" w:rsidR="002C7583" w:rsidRPr="002C7583" w:rsidRDefault="002C7583" w:rsidP="002C7583">
      <w:pPr>
        <w:autoSpaceDE w:val="0"/>
        <w:autoSpaceDN w:val="0"/>
        <w:adjustRightInd w:val="0"/>
        <w:spacing w:after="0" w:line="240" w:lineRule="auto"/>
        <w:jc w:val="both"/>
        <w:rPr>
          <w:rFonts w:ascii="Arial" w:eastAsia="Times New Roman" w:hAnsi="Arial" w:cs="Arial"/>
          <w:lang w:eastAsia="es-ES"/>
        </w:rPr>
      </w:pPr>
    </w:p>
    <w:p w14:paraId="37476A47" w14:textId="77777777" w:rsidR="002C7583" w:rsidRPr="002C7583" w:rsidRDefault="002C7583" w:rsidP="002C7583">
      <w:pPr>
        <w:autoSpaceDE w:val="0"/>
        <w:autoSpaceDN w:val="0"/>
        <w:adjustRightInd w:val="0"/>
        <w:spacing w:after="0" w:line="240" w:lineRule="auto"/>
        <w:jc w:val="both"/>
        <w:rPr>
          <w:rFonts w:ascii="Arial" w:eastAsia="Times New Roman" w:hAnsi="Arial" w:cs="Arial"/>
          <w:lang w:eastAsia="es-ES"/>
        </w:rPr>
      </w:pPr>
      <w:r w:rsidRPr="002C7583">
        <w:rPr>
          <w:rFonts w:ascii="Arial" w:eastAsia="Times New Roman" w:hAnsi="Arial" w:cs="Arial"/>
          <w:lang w:eastAsia="es-ES"/>
        </w:rPr>
        <w:t>Esta reforma integral del tipo penal del delito de desórdenes públicos pretende: dar una respuesta jurídico penal adecuada a nuevos fenómenos sociales que afectan a la figura del ejercicio de las legítimas competencias por parte de las autoridades; reforzar el principio de legalidad penal en todas sus expresiones y muy especialmente en lo relativo a la debida proporcionalidad entre delitos y penas y a la taxatividad de los tipos penales; acercar la legislación penal española a la de los países de nuestro entorno; adecuar a los valores propios de una sociedad democrática y permitir a los operadores jurídicos interpretar con total claridad la legislación existente sobre la materia cuando deban aplicarla.</w:t>
      </w:r>
    </w:p>
    <w:p w14:paraId="49C50973" w14:textId="77777777" w:rsidR="002C7583" w:rsidRPr="002C7583" w:rsidRDefault="002C7583" w:rsidP="002C7583">
      <w:pPr>
        <w:autoSpaceDE w:val="0"/>
        <w:autoSpaceDN w:val="0"/>
        <w:adjustRightInd w:val="0"/>
        <w:spacing w:after="0" w:line="240" w:lineRule="auto"/>
        <w:jc w:val="both"/>
        <w:rPr>
          <w:rFonts w:ascii="Arial" w:eastAsia="Times New Roman" w:hAnsi="Arial" w:cs="Arial"/>
          <w:lang w:eastAsia="es-ES"/>
        </w:rPr>
      </w:pPr>
    </w:p>
    <w:p w14:paraId="27084A95" w14:textId="77777777" w:rsidR="002C7583" w:rsidRPr="002C7583" w:rsidRDefault="002C7583" w:rsidP="002C7583">
      <w:pPr>
        <w:autoSpaceDE w:val="0"/>
        <w:autoSpaceDN w:val="0"/>
        <w:adjustRightInd w:val="0"/>
        <w:spacing w:after="0" w:line="240" w:lineRule="auto"/>
        <w:jc w:val="both"/>
        <w:rPr>
          <w:rFonts w:ascii="Arial" w:eastAsia="Times New Roman" w:hAnsi="Arial" w:cs="Arial"/>
          <w:lang w:eastAsia="es-ES"/>
        </w:rPr>
      </w:pPr>
      <w:r w:rsidRPr="002C7583">
        <w:rPr>
          <w:rFonts w:ascii="Arial" w:eastAsia="Times New Roman" w:hAnsi="Arial" w:cs="Arial"/>
          <w:lang w:eastAsia="es-ES"/>
        </w:rPr>
        <w:t>Así, las principales modificaciones operadas sobre los delitos contra el orden público, son las siguientes: en primer lugar, se introduce una nueva regulación del delito de desórdenes públicos para dotarle de unos contornos más claros describiendo los elementos necesarios y confluyentes para su comisión: la actuación en grupo, la finalidad de atentar contra la paz pública, entendida esta como la normalidad de la convivencia con un uso pacífico de los derechos, especialmente los derechos fundamentales y, por último, la existencia de violencia o intimidación. La confluencia de estos tres elementos no solo aporta una mayor precisión al tipo penal, sino que además ayudan a distinguirlo de otros delitos sobre las personas o las cosas y permite distinguir entre comportamientos amparados por los derechos fundamentales de reunión y de libertad de expresión y comportamientos antijurídicos claramente destinados a perjudicar la convivencia o a poner en peligro la paz y tranquilidad públicas. En este sentido, se reintegra el tipo la exigencia de la actuación en grupo, regresando a la formulación original contenida en el Código Penal de 1995 y eliminando la confusa, contradictoria y perturbadora referencia a su comisión individual operada por la Ley Orgánica 1/2015.</w:t>
      </w:r>
    </w:p>
    <w:p w14:paraId="04220CC0" w14:textId="77777777" w:rsidR="002C7583" w:rsidRPr="002C7583" w:rsidRDefault="002C7583" w:rsidP="002C7583">
      <w:pPr>
        <w:autoSpaceDE w:val="0"/>
        <w:autoSpaceDN w:val="0"/>
        <w:adjustRightInd w:val="0"/>
        <w:spacing w:after="0" w:line="240" w:lineRule="auto"/>
        <w:jc w:val="both"/>
        <w:rPr>
          <w:rFonts w:ascii="Arial" w:eastAsia="Times New Roman" w:hAnsi="Arial" w:cs="Arial"/>
          <w:lang w:eastAsia="es-ES"/>
        </w:rPr>
      </w:pPr>
    </w:p>
    <w:p w14:paraId="294FD454" w14:textId="77777777" w:rsidR="002C7583" w:rsidRPr="002C7583" w:rsidRDefault="002C7583" w:rsidP="002C7583">
      <w:pPr>
        <w:autoSpaceDE w:val="0"/>
        <w:autoSpaceDN w:val="0"/>
        <w:adjustRightInd w:val="0"/>
        <w:spacing w:after="0" w:line="240" w:lineRule="auto"/>
        <w:jc w:val="both"/>
        <w:rPr>
          <w:rFonts w:ascii="Arial" w:eastAsia="Times New Roman" w:hAnsi="Arial" w:cs="Arial"/>
          <w:strike/>
          <w:lang w:eastAsia="es-ES"/>
        </w:rPr>
      </w:pPr>
      <w:r w:rsidRPr="002C7583">
        <w:rPr>
          <w:rFonts w:ascii="Arial" w:eastAsia="Times New Roman" w:hAnsi="Arial" w:cs="Arial"/>
          <w:lang w:eastAsia="es-ES"/>
        </w:rPr>
        <w:t xml:space="preserve">En segundo lugar, se introduce una modalidad agravada de desórdenes públicos. Esta modalidad agravada exige que el delito de desórdenes públicos sea cometido por una multitud cuyas características (número, organización y finalidad) sean idóneas para afectar gravemente el orden público, entendido como el normal funcionamiento de las instituciones y servicios públicos. Se configura, así, como un tipo de peligro que, aunque no exige que el orden público llegue a verse efectivamente afectado o impedido, sí requiere que se hayan dispuesto los elementos de una forma adecuada para haberlo puesto en peligro. </w:t>
      </w:r>
    </w:p>
    <w:p w14:paraId="7691654B" w14:textId="77777777" w:rsidR="002C7583" w:rsidRPr="002C7583" w:rsidRDefault="002C7583" w:rsidP="002C7583">
      <w:pPr>
        <w:autoSpaceDE w:val="0"/>
        <w:autoSpaceDN w:val="0"/>
        <w:adjustRightInd w:val="0"/>
        <w:spacing w:after="0" w:line="240" w:lineRule="auto"/>
        <w:jc w:val="both"/>
        <w:rPr>
          <w:rFonts w:ascii="Arial" w:eastAsia="Times New Roman" w:hAnsi="Arial" w:cs="Arial"/>
          <w:lang w:eastAsia="es-ES"/>
        </w:rPr>
      </w:pPr>
    </w:p>
    <w:p w14:paraId="42E7D2BA" w14:textId="77777777" w:rsidR="002C7583" w:rsidRPr="002C7583" w:rsidRDefault="002C7583" w:rsidP="002C7583">
      <w:pPr>
        <w:autoSpaceDE w:val="0"/>
        <w:autoSpaceDN w:val="0"/>
        <w:adjustRightInd w:val="0"/>
        <w:spacing w:after="0" w:line="240" w:lineRule="auto"/>
        <w:jc w:val="both"/>
        <w:rPr>
          <w:rFonts w:ascii="Arial" w:eastAsia="Times New Roman" w:hAnsi="Arial" w:cs="Arial"/>
          <w:strike/>
          <w:lang w:eastAsia="es-ES"/>
        </w:rPr>
      </w:pPr>
      <w:r w:rsidRPr="002C7583">
        <w:rPr>
          <w:rFonts w:ascii="Arial" w:eastAsia="Times New Roman" w:hAnsi="Arial" w:cs="Arial"/>
          <w:lang w:eastAsia="es-ES"/>
        </w:rPr>
        <w:t xml:space="preserve">De este modo, el bien jurídico del orden público se convierte en el centro de esta figura penal, evitando problemas de imprecisión jurídica existentes hasta ahora. Las penas asociadas a este nuevo tipo penal se sitúan, además, en los contornos de las jurisdicciones europeas de nuestro entorno, que prevén, como se hace en esta reforma, una respuesta penal a fenómenos específicos y especialmente graves de alteración del orden público cuando este se ve objetivamente amenazado por multitudes constituidas para conseguir dicho fin. España incorpora así un modelo de protección avanzada del orden público ante estos riesgos muy similar al de países europeos con los que </w:t>
      </w:r>
      <w:r w:rsidRPr="002C7583">
        <w:rPr>
          <w:rFonts w:ascii="Arial" w:eastAsia="Times New Roman" w:hAnsi="Arial" w:cs="Arial"/>
          <w:lang w:eastAsia="es-ES"/>
        </w:rPr>
        <w:lastRenderedPageBreak/>
        <w:t xml:space="preserve">comparte valores jurídicos y con los que aspira a una plena homologación. Cabe citar, por ejemplo, los códigos penales de Alemania, Francia, Italia, Suiza, Bélgica o Portugal. </w:t>
      </w:r>
    </w:p>
    <w:p w14:paraId="528BF360" w14:textId="77777777" w:rsidR="002C7583" w:rsidRPr="002C7583" w:rsidRDefault="002C7583" w:rsidP="002C7583">
      <w:pPr>
        <w:autoSpaceDE w:val="0"/>
        <w:autoSpaceDN w:val="0"/>
        <w:adjustRightInd w:val="0"/>
        <w:spacing w:after="0" w:line="240" w:lineRule="auto"/>
        <w:jc w:val="both"/>
        <w:rPr>
          <w:rFonts w:ascii="Arial" w:eastAsia="Times New Roman" w:hAnsi="Arial" w:cs="Arial"/>
          <w:lang w:eastAsia="es-ES"/>
        </w:rPr>
      </w:pPr>
    </w:p>
    <w:p w14:paraId="5E04807E" w14:textId="77777777" w:rsidR="002C7583" w:rsidRPr="002C7583" w:rsidRDefault="002C7583" w:rsidP="002C7583">
      <w:pPr>
        <w:autoSpaceDE w:val="0"/>
        <w:autoSpaceDN w:val="0"/>
        <w:adjustRightInd w:val="0"/>
        <w:spacing w:after="0" w:line="240" w:lineRule="auto"/>
        <w:jc w:val="both"/>
        <w:rPr>
          <w:rFonts w:ascii="Arial" w:eastAsia="Times New Roman" w:hAnsi="Arial" w:cs="Arial"/>
          <w:lang w:eastAsia="es-ES"/>
        </w:rPr>
      </w:pPr>
      <w:r w:rsidRPr="002C7583">
        <w:rPr>
          <w:rFonts w:ascii="Arial" w:eastAsia="Times New Roman" w:hAnsi="Arial" w:cs="Arial"/>
          <w:lang w:eastAsia="es-ES"/>
        </w:rPr>
        <w:t>En líneas generales, la regulación que se hace de tales ilícitos en países de nuestro entorno, en comparación con la que ofrece nuestro Código Penal, se caracteriza no solo por la menor gravedad de las penas o la exigencia en todo caso de violencia o intimidación, sino también por la ausencia de una figura específica equiparable al delito de sedición. Tal tipología ha sido objeto de derogación en ordenamientos como el alemán, donde se encontraba regulado en el parágrafo 115 de su norma penal, que castigaba a los que tomaban parte en una asonada o alzamiento público en el que se llevara a cabo precisamente un acto de resistencia del parágrafo 113; un delito que, sin embargo, fue criticado por castigar el mero hecho de formar parte de la asonada, sin exigir que se hiciera uso de la violencia o de la amenaza, y que fue finalmente derogado en 1970, una tendencia que se asume en la presente reforma.</w:t>
      </w:r>
    </w:p>
    <w:p w14:paraId="6DC23AB6" w14:textId="77777777" w:rsidR="002C7583" w:rsidRPr="002C7583" w:rsidRDefault="002C7583" w:rsidP="002C7583">
      <w:pPr>
        <w:autoSpaceDE w:val="0"/>
        <w:autoSpaceDN w:val="0"/>
        <w:adjustRightInd w:val="0"/>
        <w:spacing w:after="0" w:line="240" w:lineRule="auto"/>
        <w:jc w:val="both"/>
        <w:rPr>
          <w:rFonts w:ascii="Arial" w:eastAsia="Times New Roman" w:hAnsi="Arial" w:cs="Arial"/>
          <w:lang w:eastAsia="es-ES"/>
        </w:rPr>
      </w:pPr>
    </w:p>
    <w:p w14:paraId="4F534942" w14:textId="77777777" w:rsidR="002C7583" w:rsidRPr="002C7583" w:rsidRDefault="002C7583" w:rsidP="002C7583">
      <w:pPr>
        <w:autoSpaceDE w:val="0"/>
        <w:autoSpaceDN w:val="0"/>
        <w:adjustRightInd w:val="0"/>
        <w:spacing w:after="0" w:line="240" w:lineRule="auto"/>
        <w:jc w:val="both"/>
        <w:rPr>
          <w:rFonts w:ascii="Arial" w:eastAsia="Times New Roman" w:hAnsi="Arial" w:cs="Arial"/>
          <w:lang w:eastAsia="es-ES"/>
        </w:rPr>
      </w:pPr>
      <w:r w:rsidRPr="002C7583">
        <w:rPr>
          <w:rFonts w:ascii="Arial" w:eastAsia="Times New Roman" w:hAnsi="Arial" w:cs="Arial"/>
          <w:lang w:eastAsia="es-ES"/>
        </w:rPr>
        <w:t>Por último, se realiza también una sistematización más precisa de los agravantes del delito de desórdenes públicos y se mantiene una figura que sanciona la comisión de algunos de los comportamientos asociados a este delito sin que medie violencia o intimidación.</w:t>
      </w:r>
    </w:p>
    <w:bookmarkEnd w:id="0"/>
    <w:p w14:paraId="492E4D9B" w14:textId="77777777" w:rsidR="002C7583" w:rsidRPr="002C7583" w:rsidRDefault="002C7583" w:rsidP="002C7583">
      <w:pPr>
        <w:spacing w:after="0" w:line="240" w:lineRule="auto"/>
        <w:rPr>
          <w:rFonts w:ascii="Arial" w:eastAsia="Times New Roman" w:hAnsi="Arial" w:cs="Arial"/>
          <w:lang w:eastAsia="es-ES"/>
        </w:rPr>
      </w:pPr>
    </w:p>
    <w:p w14:paraId="10640AFA" w14:textId="77777777" w:rsidR="002C7583" w:rsidRPr="002C7583" w:rsidRDefault="002C7583" w:rsidP="002C7583">
      <w:pPr>
        <w:autoSpaceDE w:val="0"/>
        <w:autoSpaceDN w:val="0"/>
        <w:adjustRightInd w:val="0"/>
        <w:spacing w:after="0" w:line="240" w:lineRule="auto"/>
        <w:jc w:val="both"/>
        <w:rPr>
          <w:rFonts w:ascii="Arial" w:eastAsia="Times New Roman" w:hAnsi="Arial" w:cs="Arial"/>
          <w:lang w:eastAsia="es-ES"/>
        </w:rPr>
      </w:pPr>
    </w:p>
    <w:p w14:paraId="6905E03A" w14:textId="77777777" w:rsidR="002C7583" w:rsidRPr="002C7583" w:rsidRDefault="002C7583" w:rsidP="002C7583">
      <w:pPr>
        <w:autoSpaceDE w:val="0"/>
        <w:autoSpaceDN w:val="0"/>
        <w:adjustRightInd w:val="0"/>
        <w:spacing w:after="0" w:line="240" w:lineRule="auto"/>
        <w:jc w:val="center"/>
        <w:rPr>
          <w:rFonts w:ascii="Arial" w:eastAsia="Times New Roman" w:hAnsi="Arial" w:cs="Arial"/>
          <w:b/>
          <w:lang w:eastAsia="es-ES"/>
        </w:rPr>
      </w:pPr>
      <w:r w:rsidRPr="002C7583">
        <w:rPr>
          <w:rFonts w:ascii="Arial" w:eastAsia="Times New Roman" w:hAnsi="Arial" w:cs="Arial"/>
          <w:b/>
          <w:lang w:eastAsia="es-ES"/>
        </w:rPr>
        <w:t>VI</w:t>
      </w:r>
    </w:p>
    <w:p w14:paraId="2177EEE2" w14:textId="77777777" w:rsidR="002C7583" w:rsidRPr="002C7583" w:rsidRDefault="002C7583" w:rsidP="002C7583">
      <w:pPr>
        <w:autoSpaceDE w:val="0"/>
        <w:autoSpaceDN w:val="0"/>
        <w:adjustRightInd w:val="0"/>
        <w:spacing w:after="0" w:line="240" w:lineRule="auto"/>
        <w:jc w:val="center"/>
        <w:rPr>
          <w:rFonts w:ascii="Arial" w:eastAsia="Times New Roman" w:hAnsi="Arial" w:cs="Arial"/>
          <w:b/>
          <w:lang w:eastAsia="es-ES"/>
        </w:rPr>
      </w:pPr>
    </w:p>
    <w:p w14:paraId="11141777" w14:textId="77777777" w:rsidR="002C7583" w:rsidRPr="002C7583" w:rsidRDefault="002C7583" w:rsidP="002C7583">
      <w:pPr>
        <w:autoSpaceDE w:val="0"/>
        <w:autoSpaceDN w:val="0"/>
        <w:adjustRightInd w:val="0"/>
        <w:spacing w:after="0" w:line="240" w:lineRule="auto"/>
        <w:jc w:val="both"/>
        <w:rPr>
          <w:rFonts w:ascii="Arial" w:eastAsia="Times New Roman" w:hAnsi="Arial" w:cs="Arial"/>
          <w:lang w:eastAsia="es-ES"/>
        </w:rPr>
      </w:pPr>
      <w:r w:rsidRPr="002C7583">
        <w:rPr>
          <w:rFonts w:ascii="Arial" w:eastAsia="Times New Roman" w:hAnsi="Arial" w:cs="Arial"/>
          <w:lang w:eastAsia="es-ES"/>
        </w:rPr>
        <w:t xml:space="preserve">La regulación de la infracción de contrabando en materia de material de defensa y de productos y tecnologías de doble uso, responde al establecimiento de un sistema de control de las operaciones de comercio exterior derivada de obligaciones internacionales del Estado español. </w:t>
      </w:r>
    </w:p>
    <w:p w14:paraId="4AD4EF05" w14:textId="77777777" w:rsidR="002C7583" w:rsidRPr="002C7583" w:rsidRDefault="002C7583" w:rsidP="002C7583">
      <w:pPr>
        <w:autoSpaceDE w:val="0"/>
        <w:autoSpaceDN w:val="0"/>
        <w:adjustRightInd w:val="0"/>
        <w:spacing w:after="0" w:line="240" w:lineRule="auto"/>
        <w:jc w:val="both"/>
        <w:rPr>
          <w:rFonts w:ascii="Arial" w:eastAsia="Times New Roman" w:hAnsi="Arial" w:cs="Arial"/>
          <w:lang w:eastAsia="es-ES"/>
        </w:rPr>
      </w:pPr>
    </w:p>
    <w:p w14:paraId="65E274E5" w14:textId="77777777" w:rsidR="002C7583" w:rsidRPr="002C7583" w:rsidRDefault="002C7583" w:rsidP="002C7583">
      <w:pPr>
        <w:autoSpaceDE w:val="0"/>
        <w:autoSpaceDN w:val="0"/>
        <w:adjustRightInd w:val="0"/>
        <w:spacing w:after="0" w:line="240" w:lineRule="auto"/>
        <w:jc w:val="both"/>
        <w:rPr>
          <w:rFonts w:ascii="Arial" w:eastAsia="Times New Roman" w:hAnsi="Arial" w:cs="Arial"/>
          <w:lang w:eastAsia="es-ES"/>
        </w:rPr>
      </w:pPr>
      <w:r w:rsidRPr="002C7583">
        <w:rPr>
          <w:rFonts w:ascii="Arial" w:eastAsia="Times New Roman" w:hAnsi="Arial" w:cs="Arial"/>
          <w:lang w:eastAsia="es-ES"/>
        </w:rPr>
        <w:t>El sistema punitivo a través del contrabando busca como uno de sus objetivos sacar del circuito el material o los productos o tecnologías a los que se aplica cuando no se conoce con anterioridad por la Administración la realización de la operación. Objetivo que se alcanza con la intervención del material o de los productos o de la tecnología objeto del comercio exterior.</w:t>
      </w:r>
    </w:p>
    <w:p w14:paraId="3BAB6C7A" w14:textId="77777777" w:rsidR="002C7583" w:rsidRPr="002C7583" w:rsidRDefault="002C7583" w:rsidP="002C7583">
      <w:pPr>
        <w:autoSpaceDE w:val="0"/>
        <w:autoSpaceDN w:val="0"/>
        <w:adjustRightInd w:val="0"/>
        <w:spacing w:after="0" w:line="240" w:lineRule="auto"/>
        <w:jc w:val="both"/>
        <w:rPr>
          <w:rFonts w:ascii="Arial" w:eastAsia="Times New Roman" w:hAnsi="Arial" w:cs="Arial"/>
          <w:lang w:eastAsia="es-ES"/>
        </w:rPr>
      </w:pPr>
    </w:p>
    <w:p w14:paraId="3A6D64C1" w14:textId="77777777" w:rsidR="002C7583" w:rsidRPr="002C7583" w:rsidRDefault="002C7583" w:rsidP="002C7583">
      <w:pPr>
        <w:autoSpaceDE w:val="0"/>
        <w:autoSpaceDN w:val="0"/>
        <w:adjustRightInd w:val="0"/>
        <w:spacing w:after="0" w:line="240" w:lineRule="auto"/>
        <w:jc w:val="both"/>
        <w:rPr>
          <w:rFonts w:ascii="Arial" w:eastAsia="Times New Roman" w:hAnsi="Arial" w:cs="Arial"/>
          <w:lang w:eastAsia="es-ES"/>
        </w:rPr>
      </w:pPr>
      <w:r w:rsidRPr="002C7583">
        <w:rPr>
          <w:rFonts w:ascii="Arial" w:eastAsia="Times New Roman" w:hAnsi="Arial" w:cs="Arial"/>
          <w:lang w:eastAsia="es-ES"/>
        </w:rPr>
        <w:t>Si bien el Código Penal tipifica la fabricación, comercialización o tenencia de las armas de guerra, armas de fuego, o armas químicas, biológicas, nucleares o radiológicas, minas antipersonas o municiones en racimo, en relación con productos y tecnología de doble uso solo están tipificadas las acciones previas al comercio exterior de productos y tecnologías que vayan a ser destinadas a programas de proliferación, con la posible comisión del delito de contrabando en grado de tentativa. Se considera necesario tipificar las conductas de conspiración y proposición de operaciones de comercio exterior sobre productos y tecnologías de doble uso, a cuyo fin se modifica el artículo 3 de la Ley Orgánica de Reprensión del Contrabando.</w:t>
      </w:r>
    </w:p>
    <w:p w14:paraId="11BF1130" w14:textId="77777777" w:rsidR="002C7583" w:rsidRPr="002C7583" w:rsidRDefault="002C7583" w:rsidP="002C7583">
      <w:pPr>
        <w:autoSpaceDE w:val="0"/>
        <w:autoSpaceDN w:val="0"/>
        <w:adjustRightInd w:val="0"/>
        <w:spacing w:after="0" w:line="240" w:lineRule="auto"/>
        <w:jc w:val="both"/>
        <w:rPr>
          <w:rFonts w:ascii="Arial" w:eastAsia="Times New Roman" w:hAnsi="Arial" w:cs="Arial"/>
          <w:lang w:eastAsia="es-ES"/>
        </w:rPr>
      </w:pPr>
    </w:p>
    <w:p w14:paraId="6A032671" w14:textId="77777777" w:rsidR="002C7583" w:rsidRPr="002C7583" w:rsidRDefault="002C7583" w:rsidP="002C7583">
      <w:pPr>
        <w:autoSpaceDE w:val="0"/>
        <w:autoSpaceDN w:val="0"/>
        <w:adjustRightInd w:val="0"/>
        <w:spacing w:after="0" w:line="240" w:lineRule="auto"/>
        <w:jc w:val="both"/>
        <w:rPr>
          <w:rFonts w:ascii="Arial" w:eastAsia="Times New Roman" w:hAnsi="Arial" w:cs="Arial"/>
          <w:lang w:eastAsia="es-ES"/>
        </w:rPr>
      </w:pPr>
      <w:r w:rsidRPr="002C7583">
        <w:rPr>
          <w:rFonts w:ascii="Arial" w:eastAsia="Times New Roman" w:hAnsi="Arial" w:cs="Arial"/>
          <w:lang w:eastAsia="es-ES"/>
        </w:rPr>
        <w:t xml:space="preserve">Por otro lado, habida cuenta de la especialización, nivel técnico y el empleo de estructuras financieras complejas que implican la realización de este tipo de conductas delictivas, así como la materialización de parte o la totalidad de estas en territorio </w:t>
      </w:r>
      <w:r w:rsidRPr="002C7583">
        <w:rPr>
          <w:rFonts w:ascii="Arial" w:eastAsia="Times New Roman" w:hAnsi="Arial" w:cs="Arial"/>
          <w:lang w:eastAsia="es-ES"/>
        </w:rPr>
        <w:lastRenderedPageBreak/>
        <w:t xml:space="preserve">extranjero y/o aguas internacionales, se considera adecuado atribuir a la Audiencia Nacional la instrucción y enjuiciamiento de causas por este tipo de acciones delictivas., lo que exige la modificación del artículo 65 de la Ley Orgánica del Poder Judicial. </w:t>
      </w:r>
    </w:p>
    <w:p w14:paraId="15E6AC3F" w14:textId="77777777" w:rsidR="002C7583" w:rsidRPr="002C7583" w:rsidRDefault="002C7583" w:rsidP="002C7583">
      <w:pPr>
        <w:autoSpaceDE w:val="0"/>
        <w:autoSpaceDN w:val="0"/>
        <w:adjustRightInd w:val="0"/>
        <w:spacing w:after="0" w:line="240" w:lineRule="auto"/>
        <w:jc w:val="both"/>
        <w:rPr>
          <w:rFonts w:ascii="Arial" w:eastAsia="Times New Roman" w:hAnsi="Arial" w:cs="Arial"/>
          <w:lang w:eastAsia="es-ES"/>
        </w:rPr>
      </w:pPr>
    </w:p>
    <w:p w14:paraId="4D6AB5A4" w14:textId="77777777" w:rsidR="002C7583" w:rsidRPr="002C7583" w:rsidRDefault="002C7583" w:rsidP="002C7583">
      <w:pPr>
        <w:autoSpaceDE w:val="0"/>
        <w:autoSpaceDN w:val="0"/>
        <w:adjustRightInd w:val="0"/>
        <w:spacing w:after="0" w:line="240" w:lineRule="auto"/>
        <w:jc w:val="both"/>
        <w:rPr>
          <w:rFonts w:ascii="Arial" w:eastAsia="Times New Roman" w:hAnsi="Arial" w:cs="Arial"/>
          <w:lang w:eastAsia="es-ES"/>
        </w:rPr>
      </w:pPr>
    </w:p>
    <w:p w14:paraId="11C73CBB" w14:textId="77777777" w:rsidR="002C7583" w:rsidRPr="002C7583" w:rsidRDefault="002C7583" w:rsidP="002C7583">
      <w:pPr>
        <w:autoSpaceDE w:val="0"/>
        <w:autoSpaceDN w:val="0"/>
        <w:adjustRightInd w:val="0"/>
        <w:spacing w:after="0" w:line="240" w:lineRule="auto"/>
        <w:jc w:val="both"/>
        <w:rPr>
          <w:rFonts w:ascii="Arial" w:eastAsia="Times New Roman" w:hAnsi="Arial" w:cs="Arial"/>
          <w:lang w:eastAsia="es-ES"/>
        </w:rPr>
      </w:pPr>
    </w:p>
    <w:p w14:paraId="237197D8" w14:textId="77777777" w:rsidR="002C7583" w:rsidRPr="002C7583" w:rsidRDefault="002C7583" w:rsidP="002C7583">
      <w:pPr>
        <w:spacing w:after="0" w:line="240" w:lineRule="auto"/>
        <w:jc w:val="center"/>
        <w:rPr>
          <w:rFonts w:ascii="Arial" w:eastAsia="Times New Roman" w:hAnsi="Arial" w:cs="Arial"/>
          <w:b/>
          <w:bCs/>
          <w:lang w:eastAsia="es-ES"/>
        </w:rPr>
      </w:pPr>
      <w:r w:rsidRPr="002C7583">
        <w:rPr>
          <w:rFonts w:ascii="Arial" w:eastAsia="Times New Roman" w:hAnsi="Arial" w:cs="Arial"/>
          <w:b/>
          <w:bCs/>
          <w:lang w:eastAsia="es-ES"/>
        </w:rPr>
        <w:t>PROPOSICIÓN DE LEY</w:t>
      </w:r>
    </w:p>
    <w:p w14:paraId="57DAFF00" w14:textId="77777777" w:rsidR="002C7583" w:rsidRPr="002C7583" w:rsidRDefault="002C7583" w:rsidP="002C7583">
      <w:pPr>
        <w:spacing w:after="0" w:line="240" w:lineRule="auto"/>
        <w:jc w:val="both"/>
        <w:rPr>
          <w:rFonts w:ascii="Arial" w:eastAsia="Times New Roman" w:hAnsi="Arial" w:cs="Arial"/>
          <w:color w:val="000000"/>
          <w:lang w:eastAsia="es-ES"/>
        </w:rPr>
      </w:pPr>
    </w:p>
    <w:p w14:paraId="0775926C" w14:textId="77777777" w:rsidR="002C7583" w:rsidRPr="002C7583" w:rsidRDefault="002C7583" w:rsidP="002C7583">
      <w:pPr>
        <w:spacing w:after="0" w:line="240" w:lineRule="auto"/>
        <w:jc w:val="both"/>
        <w:rPr>
          <w:rFonts w:ascii="Arial" w:eastAsia="Times New Roman" w:hAnsi="Arial" w:cs="Arial"/>
          <w:b/>
          <w:lang w:eastAsia="es-ES"/>
        </w:rPr>
      </w:pPr>
      <w:r w:rsidRPr="002C7583">
        <w:rPr>
          <w:rFonts w:ascii="Arial" w:eastAsia="Times New Roman" w:hAnsi="Arial" w:cs="Arial"/>
          <w:b/>
          <w:lang w:eastAsia="es-ES"/>
        </w:rPr>
        <w:t>Artículo primero</w:t>
      </w:r>
      <w:r w:rsidRPr="002C7583">
        <w:rPr>
          <w:rFonts w:ascii="Arial" w:eastAsia="Times New Roman" w:hAnsi="Arial" w:cs="Arial"/>
          <w:lang w:eastAsia="es-ES"/>
        </w:rPr>
        <w:t xml:space="preserve">. </w:t>
      </w:r>
      <w:r w:rsidRPr="002C7583">
        <w:rPr>
          <w:rFonts w:ascii="Arial" w:eastAsia="Times New Roman" w:hAnsi="Arial" w:cs="Arial"/>
          <w:b/>
          <w:lang w:eastAsia="es-ES"/>
        </w:rPr>
        <w:t xml:space="preserve">Modificación de la Ley Orgánica 10/1995, de 23 de noviembre, del Código Penal. </w:t>
      </w:r>
    </w:p>
    <w:p w14:paraId="447EF088" w14:textId="77777777" w:rsidR="002C7583" w:rsidRPr="002C7583" w:rsidRDefault="002C7583" w:rsidP="002C7583">
      <w:pPr>
        <w:spacing w:after="0" w:line="240" w:lineRule="auto"/>
        <w:jc w:val="both"/>
        <w:rPr>
          <w:rFonts w:ascii="Arial" w:eastAsia="Times New Roman" w:hAnsi="Arial" w:cs="Arial"/>
          <w:b/>
          <w:lang w:eastAsia="es-ES"/>
        </w:rPr>
      </w:pPr>
    </w:p>
    <w:p w14:paraId="54DE6D31" w14:textId="77777777" w:rsidR="002C7583" w:rsidRPr="002C7583" w:rsidRDefault="002C7583" w:rsidP="002C7583">
      <w:pPr>
        <w:spacing w:after="0" w:line="240" w:lineRule="auto"/>
        <w:jc w:val="both"/>
        <w:rPr>
          <w:rFonts w:ascii="Arial" w:eastAsia="Times New Roman" w:hAnsi="Arial" w:cs="Arial"/>
          <w:lang w:eastAsia="es-ES"/>
        </w:rPr>
      </w:pPr>
      <w:r w:rsidRPr="002C7583">
        <w:rPr>
          <w:rFonts w:ascii="Arial" w:eastAsia="Times New Roman" w:hAnsi="Arial" w:cs="Arial"/>
          <w:lang w:eastAsia="es-ES"/>
        </w:rPr>
        <w:t>La Ley Orgánica 10/1995, de 23 de noviembre, del Código Penal, queda modificada como sigue:</w:t>
      </w:r>
    </w:p>
    <w:p w14:paraId="740FDE31" w14:textId="77777777" w:rsidR="002C7583" w:rsidRPr="002C7583" w:rsidRDefault="002C7583" w:rsidP="002C7583">
      <w:pPr>
        <w:spacing w:after="0" w:line="240" w:lineRule="auto"/>
        <w:jc w:val="both"/>
        <w:rPr>
          <w:rFonts w:ascii="Arial" w:eastAsia="Times New Roman" w:hAnsi="Arial" w:cs="Arial"/>
          <w:lang w:eastAsia="es-ES"/>
        </w:rPr>
      </w:pPr>
    </w:p>
    <w:p w14:paraId="1FCC0580" w14:textId="77777777" w:rsidR="002C7583" w:rsidRPr="002C7583" w:rsidRDefault="002C7583" w:rsidP="002C7583">
      <w:pPr>
        <w:spacing w:after="0" w:line="240" w:lineRule="auto"/>
        <w:jc w:val="both"/>
        <w:rPr>
          <w:rFonts w:ascii="Arial" w:eastAsia="Times New Roman" w:hAnsi="Arial" w:cs="Arial"/>
          <w:lang w:eastAsia="es-ES"/>
        </w:rPr>
      </w:pPr>
    </w:p>
    <w:p w14:paraId="70FBB12D" w14:textId="77777777" w:rsidR="002C7583" w:rsidRPr="002C7583" w:rsidRDefault="002C7583" w:rsidP="002C7583">
      <w:pPr>
        <w:spacing w:after="0" w:line="240" w:lineRule="auto"/>
        <w:jc w:val="both"/>
        <w:rPr>
          <w:rFonts w:ascii="Arial" w:eastAsia="Times New Roman" w:hAnsi="Arial" w:cs="Arial"/>
          <w:lang w:eastAsia="es-ES"/>
        </w:rPr>
      </w:pPr>
      <w:r w:rsidRPr="002C7583">
        <w:rPr>
          <w:rFonts w:ascii="Arial" w:eastAsia="Times New Roman" w:hAnsi="Arial" w:cs="Arial"/>
          <w:b/>
          <w:lang w:eastAsia="es-ES"/>
        </w:rPr>
        <w:t>Uno.</w:t>
      </w:r>
      <w:r w:rsidRPr="002C7583">
        <w:rPr>
          <w:rFonts w:ascii="Arial" w:eastAsia="Times New Roman" w:hAnsi="Arial" w:cs="Arial"/>
          <w:lang w:eastAsia="es-ES"/>
        </w:rPr>
        <w:t xml:space="preserve"> Se modifica la redacción del apartado 1 del artículo 173, añadiendo un nuevo párrafo segundo, con la siguiente redacción: </w:t>
      </w:r>
    </w:p>
    <w:p w14:paraId="02C8F59A" w14:textId="77777777" w:rsidR="002C7583" w:rsidRPr="002C7583" w:rsidRDefault="002C7583" w:rsidP="002C7583">
      <w:pPr>
        <w:spacing w:after="0" w:line="240" w:lineRule="auto"/>
        <w:jc w:val="both"/>
        <w:rPr>
          <w:rFonts w:ascii="Arial" w:eastAsia="Times New Roman" w:hAnsi="Arial" w:cs="Arial"/>
          <w:lang w:eastAsia="es-ES"/>
        </w:rPr>
      </w:pPr>
    </w:p>
    <w:p w14:paraId="7282B7EF" w14:textId="77777777" w:rsidR="002C7583" w:rsidRPr="002C7583" w:rsidRDefault="002C7583" w:rsidP="002C7583">
      <w:pPr>
        <w:autoSpaceDE w:val="0"/>
        <w:autoSpaceDN w:val="0"/>
        <w:adjustRightInd w:val="0"/>
        <w:spacing w:after="0" w:line="240" w:lineRule="auto"/>
        <w:jc w:val="both"/>
        <w:rPr>
          <w:rFonts w:ascii="Arial" w:eastAsia="Times New Roman" w:hAnsi="Arial" w:cs="Arial"/>
          <w:lang w:eastAsia="es-ES"/>
        </w:rPr>
      </w:pPr>
      <w:r w:rsidRPr="002C7583">
        <w:rPr>
          <w:rFonts w:ascii="Arial" w:eastAsia="Times New Roman" w:hAnsi="Arial" w:cs="Arial"/>
          <w:lang w:eastAsia="es-ES"/>
        </w:rPr>
        <w:t>“Igual pena se impondrá a quienes, teniendo conocimiento del paradero del cadáver de una persona, oculten de modo reiterado tal información a los familiares o allegados de la misma.”»</w:t>
      </w:r>
    </w:p>
    <w:p w14:paraId="1BD7455D" w14:textId="77777777" w:rsidR="002C7583" w:rsidRPr="002C7583" w:rsidRDefault="002C7583" w:rsidP="002C7583">
      <w:pPr>
        <w:spacing w:after="0" w:line="240" w:lineRule="auto"/>
        <w:jc w:val="both"/>
        <w:rPr>
          <w:rFonts w:ascii="Arial" w:eastAsia="Times New Roman" w:hAnsi="Arial" w:cs="Arial"/>
          <w:lang w:eastAsia="es-ES"/>
        </w:rPr>
      </w:pPr>
    </w:p>
    <w:p w14:paraId="2C8CBCCE" w14:textId="77777777" w:rsidR="002C7583" w:rsidRPr="002C7583" w:rsidRDefault="002C7583" w:rsidP="002C7583">
      <w:pPr>
        <w:spacing w:after="0" w:line="240" w:lineRule="auto"/>
        <w:jc w:val="both"/>
        <w:rPr>
          <w:rFonts w:ascii="Arial" w:eastAsia="Times New Roman" w:hAnsi="Arial" w:cs="Arial"/>
          <w:lang w:eastAsia="es-ES"/>
        </w:rPr>
      </w:pPr>
      <w:r w:rsidRPr="002C7583">
        <w:rPr>
          <w:rFonts w:ascii="Arial" w:eastAsia="Times New Roman" w:hAnsi="Arial" w:cs="Arial"/>
          <w:b/>
          <w:lang w:eastAsia="es-ES"/>
        </w:rPr>
        <w:t>Dos.</w:t>
      </w:r>
      <w:r w:rsidRPr="002C7583">
        <w:rPr>
          <w:rFonts w:ascii="Arial" w:eastAsia="Times New Roman" w:hAnsi="Arial" w:cs="Arial"/>
          <w:lang w:eastAsia="es-ES"/>
        </w:rPr>
        <w:t xml:space="preserve"> Se modifica la redacción del artículo 248, que queda redactado como sigue: </w:t>
      </w:r>
    </w:p>
    <w:p w14:paraId="2E33F145" w14:textId="77777777" w:rsidR="002C7583" w:rsidRPr="002C7583" w:rsidRDefault="002C7583" w:rsidP="002C7583">
      <w:pPr>
        <w:spacing w:after="0" w:line="240" w:lineRule="auto"/>
        <w:jc w:val="both"/>
        <w:rPr>
          <w:rFonts w:ascii="Arial" w:eastAsia="Times New Roman" w:hAnsi="Arial" w:cs="Arial"/>
          <w:lang w:eastAsia="es-ES"/>
        </w:rPr>
      </w:pPr>
    </w:p>
    <w:p w14:paraId="19BBB404" w14:textId="77777777" w:rsidR="002C7583" w:rsidRPr="002C7583" w:rsidRDefault="002C7583" w:rsidP="002C7583">
      <w:pPr>
        <w:spacing w:after="0" w:line="240" w:lineRule="auto"/>
        <w:jc w:val="both"/>
        <w:rPr>
          <w:rFonts w:ascii="Arial" w:eastAsia="Times New Roman" w:hAnsi="Arial" w:cs="Arial"/>
          <w:lang w:eastAsia="es-ES"/>
        </w:rPr>
      </w:pPr>
      <w:r w:rsidRPr="002C7583">
        <w:rPr>
          <w:rFonts w:ascii="Arial" w:eastAsia="Times New Roman" w:hAnsi="Arial" w:cs="Arial"/>
          <w:lang w:eastAsia="es-ES"/>
        </w:rPr>
        <w:t>“Cometen estafa los que, con ánimo de lucro, utilizaren engaño bastante para producir error en otro, induciéndolo a realizar un acto de disposición en perjuicio propio o ajeno.</w:t>
      </w:r>
    </w:p>
    <w:p w14:paraId="50F5D006" w14:textId="77777777" w:rsidR="002C7583" w:rsidRPr="002C7583" w:rsidRDefault="002C7583" w:rsidP="002C7583">
      <w:pPr>
        <w:spacing w:after="0" w:line="240" w:lineRule="auto"/>
        <w:jc w:val="both"/>
        <w:rPr>
          <w:rFonts w:ascii="Arial" w:eastAsia="Times New Roman" w:hAnsi="Arial" w:cs="Arial"/>
          <w:lang w:eastAsia="es-ES"/>
        </w:rPr>
      </w:pPr>
    </w:p>
    <w:p w14:paraId="013A5677" w14:textId="77777777" w:rsidR="002C7583" w:rsidRPr="002C7583" w:rsidRDefault="002C7583" w:rsidP="002C7583">
      <w:pPr>
        <w:spacing w:after="0" w:line="240" w:lineRule="auto"/>
        <w:jc w:val="both"/>
        <w:rPr>
          <w:rFonts w:ascii="Arial" w:eastAsia="Times New Roman" w:hAnsi="Arial" w:cs="Arial"/>
          <w:lang w:eastAsia="es-ES"/>
        </w:rPr>
      </w:pPr>
      <w:r w:rsidRPr="002C7583">
        <w:rPr>
          <w:rFonts w:ascii="Arial" w:eastAsia="Times New Roman" w:hAnsi="Arial" w:cs="Arial"/>
          <w:lang w:eastAsia="es-ES"/>
        </w:rPr>
        <w:t xml:space="preserve">Los reos de estafa serán castigados con la pena de prisión de seis meses a tres años. Para la fijación de la pena se tendrá en cuenta el importe de lo defraudado, el quebranto económico causado al perjudicado, las relaciones entre éste y el defraudador, los medios empleados por éste y cuantas otras circunstancias sirvan para valorar la gravedad de la infracción. </w:t>
      </w:r>
    </w:p>
    <w:p w14:paraId="3613D65E" w14:textId="77777777" w:rsidR="002C7583" w:rsidRPr="002C7583" w:rsidRDefault="002C7583" w:rsidP="002C7583">
      <w:pPr>
        <w:spacing w:after="0" w:line="240" w:lineRule="auto"/>
        <w:jc w:val="both"/>
        <w:rPr>
          <w:rFonts w:ascii="Arial" w:eastAsia="Times New Roman" w:hAnsi="Arial" w:cs="Arial"/>
          <w:lang w:eastAsia="es-ES"/>
        </w:rPr>
      </w:pPr>
    </w:p>
    <w:p w14:paraId="3213A466" w14:textId="77777777" w:rsidR="002C7583" w:rsidRPr="002C7583" w:rsidRDefault="002C7583" w:rsidP="002C7583">
      <w:pPr>
        <w:spacing w:after="0" w:line="240" w:lineRule="auto"/>
        <w:jc w:val="both"/>
        <w:rPr>
          <w:rFonts w:ascii="Arial" w:eastAsia="Times New Roman" w:hAnsi="Arial" w:cs="Arial"/>
          <w:lang w:eastAsia="es-ES"/>
        </w:rPr>
      </w:pPr>
      <w:r w:rsidRPr="002C7583">
        <w:rPr>
          <w:rFonts w:ascii="Arial" w:eastAsia="Times New Roman" w:hAnsi="Arial" w:cs="Arial"/>
          <w:lang w:eastAsia="es-ES"/>
        </w:rPr>
        <w:t>Si la cuantía de lo defraudado no excediere de 400 euros, se impondrá la pena de multa de uno a tres meses”.</w:t>
      </w:r>
    </w:p>
    <w:p w14:paraId="3696B09A" w14:textId="77777777" w:rsidR="002C7583" w:rsidRPr="002C7583" w:rsidRDefault="002C7583" w:rsidP="002C7583">
      <w:pPr>
        <w:spacing w:after="0" w:line="240" w:lineRule="auto"/>
        <w:jc w:val="both"/>
        <w:rPr>
          <w:rFonts w:ascii="Arial" w:eastAsia="Times New Roman" w:hAnsi="Arial" w:cs="Arial"/>
          <w:lang w:eastAsia="es-ES"/>
        </w:rPr>
      </w:pPr>
    </w:p>
    <w:p w14:paraId="4E01CBBA" w14:textId="77777777" w:rsidR="002C7583" w:rsidRPr="002C7583" w:rsidRDefault="002C7583" w:rsidP="002C7583">
      <w:pPr>
        <w:spacing w:after="0" w:line="240" w:lineRule="auto"/>
        <w:jc w:val="both"/>
        <w:rPr>
          <w:rFonts w:ascii="Arial" w:eastAsia="Times New Roman" w:hAnsi="Arial" w:cs="Arial"/>
          <w:lang w:eastAsia="es-ES"/>
        </w:rPr>
      </w:pPr>
      <w:r w:rsidRPr="002C7583">
        <w:rPr>
          <w:rFonts w:ascii="Arial" w:eastAsia="Times New Roman" w:hAnsi="Arial" w:cs="Arial"/>
          <w:b/>
          <w:lang w:eastAsia="es-ES"/>
        </w:rPr>
        <w:t>Tres.</w:t>
      </w:r>
      <w:r w:rsidRPr="002C7583">
        <w:rPr>
          <w:rFonts w:ascii="Arial" w:eastAsia="Times New Roman" w:hAnsi="Arial" w:cs="Arial"/>
          <w:lang w:eastAsia="es-ES"/>
        </w:rPr>
        <w:t xml:space="preserve"> Se modifica el artículo 249, que queda redactado como sigue: </w:t>
      </w:r>
    </w:p>
    <w:p w14:paraId="35F178DC" w14:textId="77777777" w:rsidR="002C7583" w:rsidRPr="002C7583" w:rsidRDefault="002C7583" w:rsidP="002C7583">
      <w:pPr>
        <w:spacing w:after="0" w:line="240" w:lineRule="auto"/>
        <w:jc w:val="both"/>
        <w:rPr>
          <w:rFonts w:ascii="Arial" w:eastAsia="Times New Roman" w:hAnsi="Arial" w:cs="Arial"/>
          <w:lang w:eastAsia="es-ES"/>
        </w:rPr>
      </w:pPr>
    </w:p>
    <w:p w14:paraId="0BB6650B" w14:textId="77777777" w:rsidR="002C7583" w:rsidRPr="002C7583" w:rsidRDefault="002C7583" w:rsidP="002C7583">
      <w:pPr>
        <w:spacing w:after="0" w:line="240" w:lineRule="auto"/>
        <w:jc w:val="both"/>
        <w:rPr>
          <w:rFonts w:ascii="Arial" w:eastAsia="Times New Roman" w:hAnsi="Arial" w:cs="Arial"/>
          <w:lang w:eastAsia="es-ES"/>
        </w:rPr>
      </w:pPr>
      <w:r w:rsidRPr="002C7583">
        <w:rPr>
          <w:rFonts w:ascii="Arial" w:eastAsia="Times New Roman" w:hAnsi="Arial" w:cs="Arial"/>
          <w:lang w:eastAsia="es-ES"/>
        </w:rPr>
        <w:t xml:space="preserve">“1. También se consideran reos de estafa y serán castigados con la pena de prisión de seis meses a tres años: </w:t>
      </w:r>
    </w:p>
    <w:p w14:paraId="6F4F17A8" w14:textId="77777777" w:rsidR="002C7583" w:rsidRPr="002C7583" w:rsidRDefault="002C7583" w:rsidP="002C7583">
      <w:pPr>
        <w:spacing w:after="0" w:line="240" w:lineRule="auto"/>
        <w:jc w:val="both"/>
        <w:rPr>
          <w:rFonts w:ascii="Arial" w:eastAsia="Times New Roman" w:hAnsi="Arial" w:cs="Arial"/>
          <w:lang w:eastAsia="es-ES"/>
        </w:rPr>
      </w:pPr>
    </w:p>
    <w:p w14:paraId="484B7EDE" w14:textId="77777777" w:rsidR="002C7583" w:rsidRPr="002C7583" w:rsidRDefault="002C7583" w:rsidP="002C7583">
      <w:pPr>
        <w:spacing w:after="0" w:line="240" w:lineRule="auto"/>
        <w:jc w:val="both"/>
        <w:rPr>
          <w:rFonts w:ascii="Arial" w:eastAsia="Times New Roman" w:hAnsi="Arial" w:cs="Arial"/>
          <w:lang w:eastAsia="es-ES"/>
        </w:rPr>
      </w:pPr>
      <w:r w:rsidRPr="002C7583">
        <w:rPr>
          <w:rFonts w:ascii="Arial" w:eastAsia="Times New Roman" w:hAnsi="Arial" w:cs="Arial"/>
          <w:lang w:eastAsia="es-ES"/>
        </w:rPr>
        <w:t xml:space="preserve">a) Los que, con ánimo de lucro, obstaculizando o interfiriendo indebidamente en el funcionamiento de un sistema de información o introduciendo, alterando, borrando, transmitiendo o suprimiendo indebidamente datos informáticos o valiéndose de cualquier otra manipulación informática o artificio semejante consigan una transferencia no consentida de cualquier activo patrimonial en perjuicio de otro. </w:t>
      </w:r>
    </w:p>
    <w:p w14:paraId="134EE7CA" w14:textId="77777777" w:rsidR="002C7583" w:rsidRPr="002C7583" w:rsidRDefault="002C7583" w:rsidP="002C7583">
      <w:pPr>
        <w:spacing w:after="0" w:line="240" w:lineRule="auto"/>
        <w:jc w:val="both"/>
        <w:rPr>
          <w:rFonts w:ascii="Arial" w:eastAsia="Times New Roman" w:hAnsi="Arial" w:cs="Arial"/>
          <w:lang w:eastAsia="es-ES"/>
        </w:rPr>
      </w:pPr>
    </w:p>
    <w:p w14:paraId="551EDB64" w14:textId="77777777" w:rsidR="002C7583" w:rsidRPr="002C7583" w:rsidRDefault="002C7583" w:rsidP="002C7583">
      <w:pPr>
        <w:spacing w:after="0" w:line="240" w:lineRule="auto"/>
        <w:jc w:val="both"/>
        <w:rPr>
          <w:rFonts w:ascii="Arial" w:eastAsia="Times New Roman" w:hAnsi="Arial" w:cs="Arial"/>
          <w:lang w:eastAsia="es-ES"/>
        </w:rPr>
      </w:pPr>
      <w:r w:rsidRPr="002C7583">
        <w:rPr>
          <w:rFonts w:ascii="Arial" w:eastAsia="Times New Roman" w:hAnsi="Arial" w:cs="Arial"/>
          <w:lang w:eastAsia="es-ES"/>
        </w:rPr>
        <w:lastRenderedPageBreak/>
        <w:t xml:space="preserve">b) Los que, utilizando de forma fraudulenta tarjetas de crédito o débito, cheques de viaje o cualquier otro instrumento de pago material o inmaterial distinto del efectivo o los datos obrantes en cualquiera de ellos, realicen operaciones de cualquier clase en perjuicio de su titular o de un tercero. </w:t>
      </w:r>
    </w:p>
    <w:p w14:paraId="1BD36F36" w14:textId="77777777" w:rsidR="002C7583" w:rsidRPr="002C7583" w:rsidRDefault="002C7583" w:rsidP="002C7583">
      <w:pPr>
        <w:spacing w:after="0" w:line="240" w:lineRule="auto"/>
        <w:jc w:val="both"/>
        <w:rPr>
          <w:rFonts w:ascii="Arial" w:eastAsia="Times New Roman" w:hAnsi="Arial" w:cs="Arial"/>
          <w:lang w:eastAsia="es-ES"/>
        </w:rPr>
      </w:pPr>
    </w:p>
    <w:p w14:paraId="195E22F7" w14:textId="77777777" w:rsidR="002C7583" w:rsidRPr="002C7583" w:rsidRDefault="002C7583" w:rsidP="002C7583">
      <w:pPr>
        <w:spacing w:after="0" w:line="240" w:lineRule="auto"/>
        <w:jc w:val="both"/>
        <w:rPr>
          <w:rFonts w:ascii="Arial" w:eastAsia="Times New Roman" w:hAnsi="Arial" w:cs="Arial"/>
          <w:lang w:eastAsia="es-ES"/>
        </w:rPr>
      </w:pPr>
      <w:r w:rsidRPr="002C7583">
        <w:rPr>
          <w:rFonts w:ascii="Arial" w:eastAsia="Times New Roman" w:hAnsi="Arial" w:cs="Arial"/>
          <w:lang w:eastAsia="es-ES"/>
        </w:rPr>
        <w:t xml:space="preserve">2. Con la misma pena prevista en el apartado anterior serán castigados: </w:t>
      </w:r>
    </w:p>
    <w:p w14:paraId="4B7027FC" w14:textId="77777777" w:rsidR="002C7583" w:rsidRPr="002C7583" w:rsidRDefault="002C7583" w:rsidP="002C7583">
      <w:pPr>
        <w:spacing w:after="0" w:line="240" w:lineRule="auto"/>
        <w:jc w:val="both"/>
        <w:rPr>
          <w:rFonts w:ascii="Arial" w:eastAsia="Times New Roman" w:hAnsi="Arial" w:cs="Arial"/>
          <w:lang w:eastAsia="es-ES"/>
        </w:rPr>
      </w:pPr>
    </w:p>
    <w:p w14:paraId="28BAC89D" w14:textId="77777777" w:rsidR="002C7583" w:rsidRPr="002C7583" w:rsidRDefault="002C7583" w:rsidP="002C7583">
      <w:pPr>
        <w:spacing w:after="0" w:line="240" w:lineRule="auto"/>
        <w:jc w:val="both"/>
        <w:rPr>
          <w:rFonts w:ascii="Arial" w:eastAsia="Times New Roman" w:hAnsi="Arial" w:cs="Arial"/>
          <w:lang w:eastAsia="es-ES"/>
        </w:rPr>
      </w:pPr>
      <w:r w:rsidRPr="002C7583">
        <w:rPr>
          <w:rFonts w:ascii="Arial" w:eastAsia="Times New Roman" w:hAnsi="Arial" w:cs="Arial"/>
          <w:lang w:eastAsia="es-ES"/>
        </w:rPr>
        <w:t xml:space="preserve">a) Los que fabricaren, importaren, obtuvieren, poseyeren, transportaren, comerciaren, o de otro modo facilitaren a terceros dispositivos, instrumentos o datos o programas informáticos, o cualquier otro medio diseñado o adaptado específicamente para la comisión de las estafas previstas en este artículo. </w:t>
      </w:r>
    </w:p>
    <w:p w14:paraId="20AEEF40" w14:textId="77777777" w:rsidR="002C7583" w:rsidRPr="002C7583" w:rsidRDefault="002C7583" w:rsidP="002C7583">
      <w:pPr>
        <w:spacing w:after="0" w:line="240" w:lineRule="auto"/>
        <w:jc w:val="both"/>
        <w:rPr>
          <w:rFonts w:ascii="Arial" w:eastAsia="Times New Roman" w:hAnsi="Arial" w:cs="Arial"/>
          <w:lang w:eastAsia="es-ES"/>
        </w:rPr>
      </w:pPr>
    </w:p>
    <w:p w14:paraId="721D3746" w14:textId="77777777" w:rsidR="002C7583" w:rsidRPr="002C7583" w:rsidRDefault="002C7583" w:rsidP="002C7583">
      <w:pPr>
        <w:spacing w:after="0" w:line="240" w:lineRule="auto"/>
        <w:jc w:val="both"/>
        <w:rPr>
          <w:rFonts w:ascii="Arial" w:eastAsia="Times New Roman" w:hAnsi="Arial" w:cs="Arial"/>
          <w:lang w:eastAsia="es-ES"/>
        </w:rPr>
      </w:pPr>
      <w:r w:rsidRPr="002C7583">
        <w:rPr>
          <w:rFonts w:ascii="Arial" w:eastAsia="Times New Roman" w:hAnsi="Arial" w:cs="Arial"/>
          <w:lang w:eastAsia="es-ES"/>
        </w:rPr>
        <w:t xml:space="preserve">b) Los que, para su utilización fraudulenta, sustraigan, se apropiaren o adquieran de forma ilícita tarjetas de crédito o débito, cheques de viaje o cualquier otro instrumento de pago material o inmaterial distinto del efectivo. </w:t>
      </w:r>
    </w:p>
    <w:p w14:paraId="65DE6E24" w14:textId="77777777" w:rsidR="002C7583" w:rsidRPr="002C7583" w:rsidRDefault="002C7583" w:rsidP="002C7583">
      <w:pPr>
        <w:spacing w:after="0" w:line="240" w:lineRule="auto"/>
        <w:jc w:val="both"/>
        <w:rPr>
          <w:rFonts w:ascii="Arial" w:eastAsia="Times New Roman" w:hAnsi="Arial" w:cs="Arial"/>
          <w:lang w:eastAsia="es-ES"/>
        </w:rPr>
      </w:pPr>
    </w:p>
    <w:p w14:paraId="213442B5" w14:textId="77777777" w:rsidR="002C7583" w:rsidRPr="002C7583" w:rsidRDefault="002C7583" w:rsidP="002C7583">
      <w:pPr>
        <w:spacing w:after="0" w:line="240" w:lineRule="auto"/>
        <w:jc w:val="both"/>
        <w:rPr>
          <w:rFonts w:ascii="Arial" w:eastAsia="Times New Roman" w:hAnsi="Arial" w:cs="Arial"/>
          <w:lang w:eastAsia="es-ES"/>
        </w:rPr>
      </w:pPr>
      <w:r w:rsidRPr="002C7583">
        <w:rPr>
          <w:rFonts w:ascii="Arial" w:eastAsia="Times New Roman" w:hAnsi="Arial" w:cs="Arial"/>
          <w:lang w:eastAsia="es-ES"/>
        </w:rPr>
        <w:t>3. Se impondrá la pena en su mitad inferior a los que, para su utilización fraudulenta y sabiendo que fueron obtenidos ilícitamente, posean, adquieran, transfieran, distribuyan o pongan a disposición de terceros tarjetas de crédito o débito, cheques de viaje o cualesquiera otros instrumentos de pago materiales o inmateriales distintos del efectivo.”</w:t>
      </w:r>
    </w:p>
    <w:p w14:paraId="6CEFD53F" w14:textId="77777777" w:rsidR="002C7583" w:rsidRPr="002C7583" w:rsidRDefault="002C7583" w:rsidP="002C7583">
      <w:pPr>
        <w:spacing w:after="0" w:line="240" w:lineRule="auto"/>
        <w:jc w:val="both"/>
        <w:rPr>
          <w:rFonts w:ascii="Arial" w:eastAsia="Times New Roman" w:hAnsi="Arial" w:cs="Arial"/>
          <w:lang w:eastAsia="es-ES"/>
        </w:rPr>
      </w:pPr>
    </w:p>
    <w:p w14:paraId="47D4B444" w14:textId="77777777" w:rsidR="002C7583" w:rsidRPr="002C7583" w:rsidRDefault="002C7583" w:rsidP="002C7583">
      <w:pPr>
        <w:spacing w:after="0" w:line="240" w:lineRule="auto"/>
        <w:jc w:val="both"/>
        <w:rPr>
          <w:rFonts w:ascii="Arial" w:eastAsia="Times New Roman" w:hAnsi="Arial" w:cs="Arial"/>
          <w:lang w:eastAsia="es-ES"/>
        </w:rPr>
      </w:pPr>
      <w:r w:rsidRPr="002C7583">
        <w:rPr>
          <w:rFonts w:ascii="Arial" w:eastAsia="Times New Roman" w:hAnsi="Arial" w:cs="Arial"/>
          <w:b/>
          <w:lang w:eastAsia="es-ES"/>
        </w:rPr>
        <w:t>Cuatro.</w:t>
      </w:r>
      <w:r w:rsidRPr="002C7583">
        <w:rPr>
          <w:rFonts w:ascii="Arial" w:eastAsia="Times New Roman" w:hAnsi="Arial" w:cs="Arial"/>
          <w:lang w:eastAsia="es-ES"/>
        </w:rPr>
        <w:t xml:space="preserve"> Se modifica el apartado 1 del artículo 252, que queda redactado como sigue: </w:t>
      </w:r>
    </w:p>
    <w:p w14:paraId="46148193" w14:textId="77777777" w:rsidR="002C7583" w:rsidRPr="002C7583" w:rsidRDefault="002C7583" w:rsidP="002C7583">
      <w:pPr>
        <w:spacing w:after="0" w:line="240" w:lineRule="auto"/>
        <w:jc w:val="both"/>
        <w:rPr>
          <w:rFonts w:ascii="Arial" w:eastAsia="Times New Roman" w:hAnsi="Arial" w:cs="Arial"/>
          <w:lang w:eastAsia="es-ES"/>
        </w:rPr>
      </w:pPr>
    </w:p>
    <w:p w14:paraId="1BBBBB52" w14:textId="77777777" w:rsidR="002C7583" w:rsidRPr="002C7583" w:rsidRDefault="002C7583" w:rsidP="002C7583">
      <w:pPr>
        <w:spacing w:after="0" w:line="240" w:lineRule="auto"/>
        <w:jc w:val="both"/>
        <w:rPr>
          <w:rFonts w:ascii="Arial" w:eastAsia="Times New Roman" w:hAnsi="Arial" w:cs="Arial"/>
          <w:lang w:eastAsia="es-ES"/>
        </w:rPr>
      </w:pPr>
      <w:r w:rsidRPr="002C7583">
        <w:rPr>
          <w:rFonts w:ascii="Arial" w:eastAsia="Times New Roman" w:hAnsi="Arial" w:cs="Arial"/>
          <w:lang w:eastAsia="es-ES"/>
        </w:rPr>
        <w:t>“1. Serán punibles con las penas del artículo 248 o, en su caso, con las del artículo 250, los que teniendo facultades para administrar un patrimonio ajeno, emanadas de la ley, encomendadas por la autoridad o asumidas mediante un negocio jurídico, las infrinjan excediéndose en el ejercicio de las mismas y, de esa manera, causen un perjuicio al patrimonio administrado.”</w:t>
      </w:r>
    </w:p>
    <w:p w14:paraId="0C0E073E" w14:textId="77777777" w:rsidR="002C7583" w:rsidRPr="002C7583" w:rsidRDefault="002C7583" w:rsidP="002C7583">
      <w:pPr>
        <w:spacing w:after="0" w:line="240" w:lineRule="auto"/>
        <w:jc w:val="both"/>
        <w:rPr>
          <w:rFonts w:ascii="Arial" w:eastAsia="Times New Roman" w:hAnsi="Arial" w:cs="Arial"/>
          <w:lang w:eastAsia="es-ES"/>
        </w:rPr>
      </w:pPr>
    </w:p>
    <w:p w14:paraId="11388FD2" w14:textId="77777777" w:rsidR="002C7583" w:rsidRPr="002C7583" w:rsidRDefault="002C7583" w:rsidP="002C7583">
      <w:pPr>
        <w:spacing w:after="0" w:line="240" w:lineRule="auto"/>
        <w:jc w:val="both"/>
        <w:rPr>
          <w:rFonts w:ascii="Arial" w:eastAsia="Times New Roman" w:hAnsi="Arial" w:cs="Arial"/>
          <w:lang w:eastAsia="es-ES"/>
        </w:rPr>
      </w:pPr>
      <w:r w:rsidRPr="002C7583">
        <w:rPr>
          <w:rFonts w:ascii="Arial" w:eastAsia="Times New Roman" w:hAnsi="Arial" w:cs="Arial"/>
          <w:b/>
          <w:lang w:eastAsia="es-ES"/>
        </w:rPr>
        <w:t>Cinco</w:t>
      </w:r>
      <w:r w:rsidRPr="002C7583">
        <w:rPr>
          <w:rFonts w:ascii="Arial" w:eastAsia="Times New Roman" w:hAnsi="Arial" w:cs="Arial"/>
          <w:lang w:eastAsia="es-ES"/>
        </w:rPr>
        <w:t xml:space="preserve">. Se modifica el apartado 1 del artículo 253, que queda redactado como sigue: </w:t>
      </w:r>
    </w:p>
    <w:p w14:paraId="41F22AE7" w14:textId="77777777" w:rsidR="002C7583" w:rsidRPr="002C7583" w:rsidRDefault="002C7583" w:rsidP="002C7583">
      <w:pPr>
        <w:spacing w:after="0" w:line="240" w:lineRule="auto"/>
        <w:jc w:val="both"/>
        <w:rPr>
          <w:rFonts w:ascii="Arial" w:eastAsia="Times New Roman" w:hAnsi="Arial" w:cs="Arial"/>
          <w:lang w:eastAsia="es-ES"/>
        </w:rPr>
      </w:pPr>
    </w:p>
    <w:p w14:paraId="0264C1EE" w14:textId="77777777" w:rsidR="002C7583" w:rsidRPr="002C7583" w:rsidRDefault="002C7583" w:rsidP="002C7583">
      <w:pPr>
        <w:spacing w:after="0" w:line="240" w:lineRule="auto"/>
        <w:jc w:val="both"/>
        <w:rPr>
          <w:rFonts w:ascii="Arial" w:eastAsia="Times New Roman" w:hAnsi="Arial" w:cs="Arial"/>
          <w:lang w:eastAsia="es-ES"/>
        </w:rPr>
      </w:pPr>
      <w:r w:rsidRPr="002C7583">
        <w:rPr>
          <w:rFonts w:ascii="Arial" w:eastAsia="Times New Roman" w:hAnsi="Arial" w:cs="Arial"/>
          <w:lang w:eastAsia="es-ES"/>
        </w:rPr>
        <w:t>“1. Serán castigados con las penas del artículo 248 o, en su caso, del artículo 250, salvo que ya estuvieran castigados con una pena más grave en otro precepto de este Código, los que, en perjuicio de otro, se apropiaren para sí o para un tercero, de dinero, efectos, valores o cualquier otra cosa mueble, que hubieran recibido en depósito, comisión, o custodia, o que les hubieran sido confiados en virtud de cualquier otro título que produzca la obligación de entregarlos o devolverlos, o negaren haberlos recibido.”</w:t>
      </w:r>
    </w:p>
    <w:p w14:paraId="6E706B0D" w14:textId="77777777" w:rsidR="002C7583" w:rsidRPr="002C7583" w:rsidRDefault="002C7583" w:rsidP="002C7583">
      <w:pPr>
        <w:spacing w:after="0" w:line="240" w:lineRule="auto"/>
        <w:jc w:val="both"/>
        <w:rPr>
          <w:rFonts w:ascii="Arial" w:eastAsia="Times New Roman" w:hAnsi="Arial" w:cs="Arial"/>
          <w:lang w:eastAsia="es-ES"/>
        </w:rPr>
      </w:pPr>
    </w:p>
    <w:p w14:paraId="69C7B647" w14:textId="77777777" w:rsidR="002C7583" w:rsidRPr="002C7583" w:rsidRDefault="002C7583" w:rsidP="002C7583">
      <w:pPr>
        <w:spacing w:after="0" w:line="240" w:lineRule="auto"/>
        <w:jc w:val="both"/>
        <w:rPr>
          <w:rFonts w:ascii="Arial" w:eastAsia="Times New Roman" w:hAnsi="Arial" w:cs="Arial"/>
          <w:lang w:eastAsia="es-ES"/>
        </w:rPr>
      </w:pPr>
      <w:r w:rsidRPr="002C7583">
        <w:rPr>
          <w:rFonts w:ascii="Arial" w:eastAsia="Times New Roman" w:hAnsi="Arial" w:cs="Arial"/>
          <w:b/>
          <w:lang w:eastAsia="es-ES"/>
        </w:rPr>
        <w:t>Seis</w:t>
      </w:r>
      <w:r w:rsidRPr="002C7583">
        <w:rPr>
          <w:rFonts w:ascii="Arial" w:eastAsia="Times New Roman" w:hAnsi="Arial" w:cs="Arial"/>
          <w:lang w:eastAsia="es-ES"/>
        </w:rPr>
        <w:t>. Se añade un apartado 3 en el artículo 262 que queda redactado como sigue:</w:t>
      </w:r>
    </w:p>
    <w:p w14:paraId="2DA8A992" w14:textId="77777777" w:rsidR="002C7583" w:rsidRPr="002C7583" w:rsidRDefault="002C7583" w:rsidP="002C7583">
      <w:pPr>
        <w:spacing w:after="0" w:line="240" w:lineRule="auto"/>
        <w:jc w:val="both"/>
        <w:rPr>
          <w:rFonts w:ascii="Arial" w:eastAsia="Times New Roman" w:hAnsi="Arial" w:cs="Arial"/>
          <w:lang w:eastAsia="es-ES"/>
        </w:rPr>
      </w:pPr>
    </w:p>
    <w:p w14:paraId="3A7E0F78" w14:textId="77777777" w:rsidR="002C7583" w:rsidRPr="002C7583" w:rsidRDefault="002C7583" w:rsidP="002C7583">
      <w:pPr>
        <w:spacing w:after="0" w:line="240" w:lineRule="auto"/>
        <w:jc w:val="both"/>
        <w:rPr>
          <w:rFonts w:ascii="Arial" w:eastAsia="Times New Roman" w:hAnsi="Arial" w:cs="Arial"/>
          <w:lang w:eastAsia="es-ES"/>
        </w:rPr>
      </w:pPr>
      <w:r w:rsidRPr="002C7583">
        <w:rPr>
          <w:rFonts w:ascii="Arial" w:eastAsia="Times New Roman" w:hAnsi="Arial" w:cs="Arial"/>
          <w:lang w:eastAsia="es-ES"/>
        </w:rPr>
        <w:t xml:space="preserve">“3. Quedarán exentos de responsabilidad criminal los directores, administradores de hecho o de Derecho, gerentes y otros miembros de personal actuales y anteriores de cualquier sociedad, constituida o en formación, que en esa condición hayan cometido alguno de los hechos previstos en este artículo, cuando pongan fin a su participación en los mismos y cooperen con las autoridades competentes de manera plena, continua y diligente, aportando informaciones y elementos de prueba de los que estas carecieran, </w:t>
      </w:r>
      <w:r w:rsidRPr="002C7583">
        <w:rPr>
          <w:rFonts w:ascii="Arial" w:eastAsia="Times New Roman" w:hAnsi="Arial" w:cs="Arial"/>
          <w:lang w:eastAsia="es-ES"/>
        </w:rPr>
        <w:lastRenderedPageBreak/>
        <w:t>que sean útiles para la investigación, detección y sanción de las demás personas implicadas, siempre que se cumplan cada una de las siguientes condiciones:</w:t>
      </w:r>
    </w:p>
    <w:p w14:paraId="112448BC" w14:textId="77777777" w:rsidR="002C7583" w:rsidRPr="002C7583" w:rsidRDefault="002C7583" w:rsidP="002C7583">
      <w:pPr>
        <w:spacing w:after="0" w:line="240" w:lineRule="auto"/>
        <w:jc w:val="both"/>
        <w:rPr>
          <w:rFonts w:ascii="Arial" w:eastAsia="Times New Roman" w:hAnsi="Arial" w:cs="Arial"/>
          <w:lang w:eastAsia="es-ES"/>
        </w:rPr>
      </w:pPr>
    </w:p>
    <w:p w14:paraId="38071B7B" w14:textId="77777777" w:rsidR="002C7583" w:rsidRPr="002C7583" w:rsidRDefault="002C7583" w:rsidP="002C7583">
      <w:pPr>
        <w:numPr>
          <w:ilvl w:val="0"/>
          <w:numId w:val="1"/>
        </w:numPr>
        <w:spacing w:after="200" w:line="276" w:lineRule="auto"/>
        <w:contextualSpacing/>
        <w:jc w:val="both"/>
        <w:rPr>
          <w:rFonts w:ascii="Arial" w:eastAsia="Times New Roman" w:hAnsi="Arial" w:cs="Arial"/>
          <w:lang w:eastAsia="es-ES"/>
        </w:rPr>
      </w:pPr>
      <w:r w:rsidRPr="002C7583">
        <w:rPr>
          <w:rFonts w:ascii="Arial" w:eastAsia="Times New Roman" w:hAnsi="Arial" w:cs="Arial"/>
          <w:lang w:eastAsia="es-ES"/>
        </w:rPr>
        <w:t>cooperen activamente en este sentido con la autoridad de la competencia que lleva el caso,</w:t>
      </w:r>
    </w:p>
    <w:p w14:paraId="03B60698" w14:textId="77777777" w:rsidR="002C7583" w:rsidRPr="002C7583" w:rsidRDefault="002C7583" w:rsidP="002C7583">
      <w:pPr>
        <w:numPr>
          <w:ilvl w:val="0"/>
          <w:numId w:val="1"/>
        </w:numPr>
        <w:spacing w:after="200" w:line="276" w:lineRule="auto"/>
        <w:contextualSpacing/>
        <w:jc w:val="both"/>
        <w:rPr>
          <w:rFonts w:ascii="Arial" w:eastAsia="Times New Roman" w:hAnsi="Arial" w:cs="Arial"/>
          <w:lang w:eastAsia="es-ES"/>
        </w:rPr>
      </w:pPr>
      <w:r w:rsidRPr="002C7583">
        <w:rPr>
          <w:rFonts w:ascii="Arial" w:eastAsia="Times New Roman" w:hAnsi="Arial" w:cs="Arial"/>
          <w:lang w:eastAsia="es-ES"/>
        </w:rPr>
        <w:t>estas sociedades o personas físicas hayan presentado una solicitud de exención del pago de la multa de conformidad con lo establecido en la ley de defensa de la competencia,</w:t>
      </w:r>
    </w:p>
    <w:p w14:paraId="79279E93" w14:textId="77777777" w:rsidR="002C7583" w:rsidRPr="002C7583" w:rsidRDefault="002C7583" w:rsidP="002C7583">
      <w:pPr>
        <w:numPr>
          <w:ilvl w:val="0"/>
          <w:numId w:val="1"/>
        </w:numPr>
        <w:spacing w:after="200" w:line="276" w:lineRule="auto"/>
        <w:contextualSpacing/>
        <w:jc w:val="both"/>
        <w:rPr>
          <w:rFonts w:ascii="Arial" w:eastAsia="Times New Roman" w:hAnsi="Arial" w:cs="Arial"/>
          <w:lang w:eastAsia="es-ES"/>
        </w:rPr>
      </w:pPr>
      <w:r w:rsidRPr="002C7583">
        <w:rPr>
          <w:rFonts w:ascii="Arial" w:eastAsia="Times New Roman" w:hAnsi="Arial" w:cs="Arial"/>
          <w:lang w:eastAsia="es-ES"/>
        </w:rPr>
        <w:t>dicha solicitud se haya presentado en un momento anterior a aquel en que los directores, administradores de hecho o de Derecho, gerentes y otros miembros de personal actuales o anteriores de la sociedad, constituida o en formación, hayan sido informados de que están siendo investigados en relación con estos hechos</w:t>
      </w:r>
    </w:p>
    <w:p w14:paraId="7FFB77CB" w14:textId="77777777" w:rsidR="002C7583" w:rsidRPr="002C7583" w:rsidRDefault="002C7583" w:rsidP="002C7583">
      <w:pPr>
        <w:spacing w:after="200" w:line="276" w:lineRule="auto"/>
        <w:ind w:left="720"/>
        <w:contextualSpacing/>
        <w:jc w:val="both"/>
        <w:rPr>
          <w:rFonts w:ascii="Arial" w:eastAsia="Times New Roman" w:hAnsi="Arial" w:cs="Arial"/>
          <w:lang w:eastAsia="es-ES"/>
        </w:rPr>
      </w:pPr>
      <w:r w:rsidRPr="002C7583">
        <w:rPr>
          <w:rFonts w:ascii="Arial" w:eastAsia="Times New Roman" w:hAnsi="Arial" w:cs="Arial"/>
          <w:lang w:eastAsia="es-ES"/>
        </w:rPr>
        <w:t>y</w:t>
      </w:r>
    </w:p>
    <w:p w14:paraId="6D2F9377" w14:textId="77777777" w:rsidR="002C7583" w:rsidRPr="002C7583" w:rsidRDefault="002C7583" w:rsidP="002C7583">
      <w:pPr>
        <w:numPr>
          <w:ilvl w:val="0"/>
          <w:numId w:val="1"/>
        </w:numPr>
        <w:spacing w:after="200" w:line="276" w:lineRule="auto"/>
        <w:contextualSpacing/>
        <w:jc w:val="both"/>
        <w:rPr>
          <w:rFonts w:ascii="Arial" w:eastAsia="Times New Roman" w:hAnsi="Arial" w:cs="Arial"/>
          <w:lang w:eastAsia="es-ES"/>
        </w:rPr>
      </w:pPr>
      <w:r w:rsidRPr="002C7583">
        <w:rPr>
          <w:rFonts w:ascii="Arial" w:eastAsia="Times New Roman" w:hAnsi="Arial" w:cs="Arial"/>
          <w:lang w:eastAsia="es-ES"/>
        </w:rPr>
        <w:t>se trate de una colaboración activa en este sentido también con la autoridad judicial o el Ministerio Fiscal, proporcionando indicios útiles y concretos para asegurar la prueba del delito e identificar a otros autores.</w:t>
      </w:r>
    </w:p>
    <w:p w14:paraId="55392BA6" w14:textId="77777777" w:rsidR="002C7583" w:rsidRPr="002C7583" w:rsidRDefault="002C7583" w:rsidP="002C7583">
      <w:pPr>
        <w:spacing w:after="0" w:line="240" w:lineRule="auto"/>
        <w:jc w:val="both"/>
        <w:rPr>
          <w:rFonts w:ascii="Arial" w:eastAsia="Times New Roman" w:hAnsi="Arial" w:cs="Arial"/>
          <w:b/>
          <w:iCs/>
          <w:lang w:eastAsia="es-ES"/>
        </w:rPr>
      </w:pPr>
    </w:p>
    <w:p w14:paraId="0D4C5D0B" w14:textId="77777777" w:rsidR="002C7583" w:rsidRPr="002C7583" w:rsidRDefault="002C7583" w:rsidP="002C7583">
      <w:pPr>
        <w:spacing w:after="0" w:line="240" w:lineRule="auto"/>
        <w:jc w:val="both"/>
        <w:rPr>
          <w:rFonts w:ascii="Arial" w:eastAsia="Times New Roman" w:hAnsi="Arial" w:cs="Arial"/>
          <w:lang w:eastAsia="es-ES"/>
        </w:rPr>
      </w:pPr>
      <w:r w:rsidRPr="002C7583">
        <w:rPr>
          <w:rFonts w:ascii="Arial" w:eastAsia="Times New Roman" w:hAnsi="Arial" w:cs="Arial"/>
          <w:b/>
          <w:lang w:eastAsia="es-ES"/>
        </w:rPr>
        <w:t>Siete</w:t>
      </w:r>
      <w:r w:rsidRPr="002C7583">
        <w:rPr>
          <w:rFonts w:ascii="Arial" w:eastAsia="Times New Roman" w:hAnsi="Arial" w:cs="Arial"/>
          <w:lang w:eastAsia="es-ES"/>
        </w:rPr>
        <w:t xml:space="preserve">. Se modifica el apartado 5 del artículo 285, que queda redactado como sigue: </w:t>
      </w:r>
    </w:p>
    <w:p w14:paraId="459A2B63" w14:textId="77777777" w:rsidR="002C7583" w:rsidRPr="002C7583" w:rsidRDefault="002C7583" w:rsidP="002C7583">
      <w:pPr>
        <w:spacing w:after="0" w:line="240" w:lineRule="auto"/>
        <w:jc w:val="both"/>
        <w:rPr>
          <w:rFonts w:ascii="Arial" w:eastAsia="Times New Roman" w:hAnsi="Arial" w:cs="Arial"/>
          <w:lang w:eastAsia="es-ES"/>
        </w:rPr>
      </w:pPr>
    </w:p>
    <w:p w14:paraId="467F5E3D" w14:textId="77777777" w:rsidR="002C7583" w:rsidRPr="002C7583" w:rsidRDefault="002C7583" w:rsidP="002C7583">
      <w:pPr>
        <w:spacing w:after="0" w:line="240" w:lineRule="auto"/>
        <w:jc w:val="both"/>
        <w:rPr>
          <w:rFonts w:ascii="Arial" w:eastAsia="Times New Roman" w:hAnsi="Arial" w:cs="Arial"/>
          <w:lang w:eastAsia="es-ES"/>
        </w:rPr>
      </w:pPr>
      <w:r w:rsidRPr="002C7583">
        <w:rPr>
          <w:rFonts w:ascii="Arial" w:eastAsia="Times New Roman" w:hAnsi="Arial" w:cs="Arial"/>
          <w:lang w:eastAsia="es-ES"/>
        </w:rPr>
        <w:t>“5. Las mismas penas previstas en este artículo se impondrán cuando el responsable del hecho, sin tener acceso reservado a la información privilegiada, la obtenga de cualquier modo distinto de los previstos en el apartado anterior y la utilice conociendo que se trata de información privilegiada”.</w:t>
      </w:r>
    </w:p>
    <w:p w14:paraId="1F4F2BDE" w14:textId="77777777" w:rsidR="002C7583" w:rsidRPr="002C7583" w:rsidRDefault="002C7583" w:rsidP="002C7583">
      <w:pPr>
        <w:spacing w:after="0" w:line="240" w:lineRule="auto"/>
        <w:jc w:val="both"/>
        <w:rPr>
          <w:rFonts w:ascii="Arial" w:eastAsia="Times New Roman" w:hAnsi="Arial" w:cs="Arial"/>
          <w:lang w:eastAsia="es-ES"/>
        </w:rPr>
      </w:pPr>
    </w:p>
    <w:p w14:paraId="3B52B818" w14:textId="77777777" w:rsidR="002C7583" w:rsidRPr="002C7583" w:rsidRDefault="002C7583" w:rsidP="002C7583">
      <w:pPr>
        <w:spacing w:after="0" w:line="240" w:lineRule="auto"/>
        <w:jc w:val="both"/>
        <w:rPr>
          <w:rFonts w:ascii="Arial" w:eastAsia="Times New Roman" w:hAnsi="Arial" w:cs="Arial"/>
          <w:lang w:eastAsia="es-ES"/>
        </w:rPr>
      </w:pPr>
    </w:p>
    <w:p w14:paraId="6F6D3F64" w14:textId="77777777" w:rsidR="002C7583" w:rsidRPr="002C7583" w:rsidRDefault="002C7583" w:rsidP="002C7583">
      <w:pPr>
        <w:spacing w:after="0" w:line="240" w:lineRule="auto"/>
        <w:jc w:val="both"/>
        <w:rPr>
          <w:rFonts w:ascii="Arial" w:eastAsia="Times New Roman" w:hAnsi="Arial" w:cs="Arial"/>
          <w:lang w:eastAsia="es-ES"/>
        </w:rPr>
      </w:pPr>
      <w:r w:rsidRPr="002C7583">
        <w:rPr>
          <w:rFonts w:ascii="Arial" w:eastAsia="Times New Roman" w:hAnsi="Arial" w:cs="Arial"/>
          <w:b/>
          <w:lang w:eastAsia="es-ES"/>
        </w:rPr>
        <w:t>Ocho</w:t>
      </w:r>
      <w:r w:rsidRPr="002C7583">
        <w:rPr>
          <w:rFonts w:ascii="Arial" w:eastAsia="Times New Roman" w:hAnsi="Arial" w:cs="Arial"/>
          <w:lang w:eastAsia="es-ES"/>
        </w:rPr>
        <w:t xml:space="preserve">. Se incorpora un nuevo artículo 288 bis, </w:t>
      </w:r>
      <w:bookmarkStart w:id="1" w:name="_Hlk117692511"/>
      <w:r w:rsidRPr="002C7583">
        <w:rPr>
          <w:rFonts w:ascii="Arial" w:eastAsia="Times New Roman" w:hAnsi="Arial" w:cs="Arial"/>
          <w:lang w:eastAsia="es-ES"/>
        </w:rPr>
        <w:t>que queda redactado como sigue</w:t>
      </w:r>
      <w:bookmarkEnd w:id="1"/>
      <w:r w:rsidRPr="002C7583">
        <w:rPr>
          <w:rFonts w:ascii="Arial" w:eastAsia="Times New Roman" w:hAnsi="Arial" w:cs="Arial"/>
          <w:lang w:eastAsia="es-ES"/>
        </w:rPr>
        <w:t>:</w:t>
      </w:r>
    </w:p>
    <w:p w14:paraId="4D25D4E4" w14:textId="77777777" w:rsidR="002C7583" w:rsidRPr="002C7583" w:rsidRDefault="002C7583" w:rsidP="002C7583">
      <w:pPr>
        <w:spacing w:after="0" w:line="240" w:lineRule="auto"/>
        <w:jc w:val="both"/>
        <w:rPr>
          <w:rFonts w:ascii="Arial" w:eastAsia="Times New Roman" w:hAnsi="Arial" w:cs="Arial"/>
          <w:b/>
          <w:iCs/>
          <w:spacing w:val="-3"/>
          <w:lang w:eastAsia="es-ES"/>
        </w:rPr>
      </w:pPr>
    </w:p>
    <w:p w14:paraId="3F650885" w14:textId="77777777" w:rsidR="002C7583" w:rsidRPr="002C7583" w:rsidRDefault="002C7583" w:rsidP="002C7583">
      <w:pPr>
        <w:spacing w:after="0" w:line="240" w:lineRule="auto"/>
        <w:jc w:val="both"/>
        <w:rPr>
          <w:rFonts w:ascii="Arial" w:eastAsia="Times New Roman" w:hAnsi="Arial" w:cs="Arial"/>
          <w:lang w:eastAsia="es-ES"/>
        </w:rPr>
      </w:pPr>
      <w:r w:rsidRPr="002C7583">
        <w:rPr>
          <w:rFonts w:ascii="Arial" w:eastAsia="Times New Roman" w:hAnsi="Arial" w:cs="Arial"/>
          <w:lang w:eastAsia="es-ES"/>
        </w:rPr>
        <w:t>“En los supuestos previstos en los artículos 281 y 284 de este Código, quedarán exentos de responsabilidad criminal los directores, administradores de hecho o de Derecho, gerentes y otros miembros de personal actuales y anteriores de cualquier sociedad, constituida o en formación, que en esa condición hayan cometido alguno de los hechos previstos en ellos, cuando pongan fin a su participación en los mismos y cooperen con las autoridades competentes de manera plena, continua y diligente, aportando informaciones y elementos de prueba de los que estas carecieran, que sean útiles para la investigación, detección y sanción de las demás personas implicadas, siempre que se cumplan cada una de las siguientes condiciones:</w:t>
      </w:r>
    </w:p>
    <w:p w14:paraId="22049A0E" w14:textId="77777777" w:rsidR="002C7583" w:rsidRPr="002C7583" w:rsidRDefault="002C7583" w:rsidP="002C7583">
      <w:pPr>
        <w:spacing w:after="0" w:line="240" w:lineRule="auto"/>
        <w:jc w:val="both"/>
        <w:rPr>
          <w:rFonts w:ascii="Arial" w:eastAsia="Times New Roman" w:hAnsi="Arial" w:cs="Arial"/>
          <w:lang w:eastAsia="es-ES"/>
        </w:rPr>
      </w:pPr>
    </w:p>
    <w:p w14:paraId="2596C65B" w14:textId="77777777" w:rsidR="002C7583" w:rsidRPr="002C7583" w:rsidRDefault="002C7583" w:rsidP="002C7583">
      <w:pPr>
        <w:numPr>
          <w:ilvl w:val="0"/>
          <w:numId w:val="2"/>
        </w:numPr>
        <w:spacing w:after="200" w:line="276" w:lineRule="auto"/>
        <w:contextualSpacing/>
        <w:jc w:val="both"/>
        <w:rPr>
          <w:rFonts w:ascii="Arial" w:eastAsia="Times New Roman" w:hAnsi="Arial" w:cs="Arial"/>
          <w:lang w:eastAsia="es-ES"/>
        </w:rPr>
      </w:pPr>
      <w:r w:rsidRPr="002C7583">
        <w:rPr>
          <w:rFonts w:ascii="Arial" w:eastAsia="Times New Roman" w:hAnsi="Arial" w:cs="Arial"/>
          <w:lang w:eastAsia="es-ES"/>
        </w:rPr>
        <w:t>cooperen activamente en este sentido con la autoridad de la competencia que lleva el caso,</w:t>
      </w:r>
    </w:p>
    <w:p w14:paraId="24445E89" w14:textId="77777777" w:rsidR="002C7583" w:rsidRPr="002C7583" w:rsidRDefault="002C7583" w:rsidP="002C7583">
      <w:pPr>
        <w:numPr>
          <w:ilvl w:val="0"/>
          <w:numId w:val="2"/>
        </w:numPr>
        <w:spacing w:after="200" w:line="276" w:lineRule="auto"/>
        <w:contextualSpacing/>
        <w:jc w:val="both"/>
        <w:rPr>
          <w:rFonts w:ascii="Arial" w:eastAsia="Times New Roman" w:hAnsi="Arial" w:cs="Arial"/>
          <w:lang w:eastAsia="es-ES"/>
        </w:rPr>
      </w:pPr>
      <w:r w:rsidRPr="002C7583">
        <w:rPr>
          <w:rFonts w:ascii="Arial" w:eastAsia="Times New Roman" w:hAnsi="Arial" w:cs="Arial"/>
          <w:lang w:eastAsia="es-ES"/>
        </w:rPr>
        <w:t>estas sociedades o personas físicas hayan presentado una solicitud de exención del pago de la multa de conformidad con lo establecido en la ley de defensa de la competencia,</w:t>
      </w:r>
    </w:p>
    <w:p w14:paraId="6DEB8090" w14:textId="77777777" w:rsidR="002C7583" w:rsidRPr="002C7583" w:rsidRDefault="002C7583" w:rsidP="002C7583">
      <w:pPr>
        <w:numPr>
          <w:ilvl w:val="0"/>
          <w:numId w:val="2"/>
        </w:numPr>
        <w:spacing w:after="200" w:line="276" w:lineRule="auto"/>
        <w:contextualSpacing/>
        <w:jc w:val="both"/>
        <w:rPr>
          <w:rFonts w:ascii="Arial" w:eastAsia="Times New Roman" w:hAnsi="Arial" w:cs="Arial"/>
          <w:lang w:eastAsia="es-ES"/>
        </w:rPr>
      </w:pPr>
      <w:r w:rsidRPr="002C7583">
        <w:rPr>
          <w:rFonts w:ascii="Arial" w:eastAsia="Times New Roman" w:hAnsi="Arial" w:cs="Arial"/>
          <w:lang w:eastAsia="es-ES"/>
        </w:rPr>
        <w:lastRenderedPageBreak/>
        <w:t xml:space="preserve"> dicha solicitud se haya presentado en un momento anterior a aquel en que los directores, administradores de hecho o de Derecho, gerentes y otros miembros de personal actuales y anteriores de cualquier sociedad, constituida o en formación, que en esa condición hayan sido informados de que están siendo investigados en relación con estos hechos</w:t>
      </w:r>
    </w:p>
    <w:p w14:paraId="7EB0097F" w14:textId="77777777" w:rsidR="002C7583" w:rsidRPr="002C7583" w:rsidRDefault="002C7583" w:rsidP="002C7583">
      <w:pPr>
        <w:spacing w:after="200" w:line="276" w:lineRule="auto"/>
        <w:ind w:left="720"/>
        <w:contextualSpacing/>
        <w:jc w:val="both"/>
        <w:rPr>
          <w:rFonts w:ascii="Arial" w:eastAsia="Times New Roman" w:hAnsi="Arial" w:cs="Arial"/>
          <w:lang w:eastAsia="es-ES"/>
        </w:rPr>
      </w:pPr>
      <w:r w:rsidRPr="002C7583">
        <w:rPr>
          <w:rFonts w:ascii="Arial" w:eastAsia="Times New Roman" w:hAnsi="Arial" w:cs="Arial"/>
          <w:lang w:eastAsia="es-ES"/>
        </w:rPr>
        <w:t>y</w:t>
      </w:r>
    </w:p>
    <w:p w14:paraId="426950A3" w14:textId="77777777" w:rsidR="002C7583" w:rsidRPr="002C7583" w:rsidRDefault="002C7583" w:rsidP="002C7583">
      <w:pPr>
        <w:numPr>
          <w:ilvl w:val="0"/>
          <w:numId w:val="2"/>
        </w:numPr>
        <w:spacing w:after="200" w:line="276" w:lineRule="auto"/>
        <w:contextualSpacing/>
        <w:jc w:val="both"/>
        <w:rPr>
          <w:rFonts w:ascii="Arial" w:eastAsia="Times New Roman" w:hAnsi="Arial" w:cs="Arial"/>
          <w:lang w:eastAsia="es-ES"/>
        </w:rPr>
      </w:pPr>
      <w:r w:rsidRPr="002C7583">
        <w:rPr>
          <w:rFonts w:ascii="Arial" w:eastAsia="Times New Roman" w:hAnsi="Arial" w:cs="Arial"/>
          <w:lang w:eastAsia="es-ES"/>
        </w:rPr>
        <w:t>se trate de una colaboración activa en este sentido también con la autoridad judicial o el Ministerio Fiscal proporcionando indicios útiles y concretos para asegurar la prueba del delito e identificar a otros autores.</w:t>
      </w:r>
    </w:p>
    <w:p w14:paraId="5D474EA9" w14:textId="77777777" w:rsidR="002C7583" w:rsidRPr="002C7583" w:rsidRDefault="002C7583" w:rsidP="002C7583">
      <w:pPr>
        <w:spacing w:after="200" w:line="276" w:lineRule="auto"/>
        <w:jc w:val="both"/>
        <w:rPr>
          <w:rFonts w:ascii="Arial" w:eastAsia="Times New Roman" w:hAnsi="Arial" w:cs="Arial"/>
          <w:lang w:eastAsia="es-ES"/>
        </w:rPr>
      </w:pPr>
      <w:r w:rsidRPr="002C7583">
        <w:rPr>
          <w:rFonts w:ascii="Arial" w:eastAsia="Times New Roman" w:hAnsi="Arial" w:cs="Arial"/>
          <w:b/>
          <w:lang w:eastAsia="es-ES"/>
        </w:rPr>
        <w:t xml:space="preserve">Nueve. </w:t>
      </w:r>
      <w:r w:rsidRPr="002C7583">
        <w:rPr>
          <w:rFonts w:ascii="Arial" w:eastAsia="Times New Roman" w:hAnsi="Arial" w:cs="Arial"/>
          <w:lang w:eastAsia="es-ES"/>
        </w:rPr>
        <w:t>Se modifica el texto de la rúbrica de la Sección 4.ª del Capítulo II del Título XVIII del Libro II, que queda redactado como sigue:</w:t>
      </w:r>
    </w:p>
    <w:p w14:paraId="13A1943F" w14:textId="77777777" w:rsidR="002C7583" w:rsidRPr="002C7583" w:rsidRDefault="002C7583" w:rsidP="002C7583">
      <w:pPr>
        <w:spacing w:after="200" w:line="276" w:lineRule="auto"/>
        <w:jc w:val="both"/>
        <w:rPr>
          <w:rFonts w:ascii="Arial" w:eastAsia="Times New Roman" w:hAnsi="Arial" w:cs="Arial"/>
          <w:b/>
          <w:lang w:eastAsia="es-ES"/>
        </w:rPr>
      </w:pPr>
      <w:r w:rsidRPr="002C7583">
        <w:rPr>
          <w:rFonts w:ascii="Arial" w:eastAsia="Times New Roman" w:hAnsi="Arial" w:cs="Arial"/>
          <w:lang w:eastAsia="es-ES"/>
        </w:rPr>
        <w:t xml:space="preserve"> “De la falsificación de tarjetas de crédito y débito, cheques de viaje y demás instrumentos de pago distintos del efectivo.”</w:t>
      </w:r>
    </w:p>
    <w:p w14:paraId="38C0E91D" w14:textId="77777777" w:rsidR="002C7583" w:rsidRPr="002C7583" w:rsidRDefault="002C7583" w:rsidP="002C7583">
      <w:pPr>
        <w:spacing w:after="0" w:line="240" w:lineRule="auto"/>
        <w:jc w:val="both"/>
        <w:rPr>
          <w:rFonts w:ascii="Arial" w:eastAsia="Times New Roman" w:hAnsi="Arial" w:cs="Arial"/>
          <w:lang w:eastAsia="es-ES"/>
        </w:rPr>
      </w:pPr>
    </w:p>
    <w:p w14:paraId="5BBBC82A" w14:textId="77777777" w:rsidR="002C7583" w:rsidRPr="002C7583" w:rsidRDefault="002C7583" w:rsidP="002C7583">
      <w:pPr>
        <w:spacing w:after="0" w:line="240" w:lineRule="auto"/>
        <w:jc w:val="both"/>
        <w:rPr>
          <w:rFonts w:ascii="Arial" w:eastAsia="Times New Roman" w:hAnsi="Arial" w:cs="Arial"/>
          <w:lang w:eastAsia="es-ES"/>
        </w:rPr>
      </w:pPr>
      <w:r w:rsidRPr="002C7583">
        <w:rPr>
          <w:rFonts w:ascii="Arial" w:eastAsia="Times New Roman" w:hAnsi="Arial" w:cs="Arial"/>
          <w:b/>
          <w:lang w:eastAsia="es-ES"/>
        </w:rPr>
        <w:t>Diez</w:t>
      </w:r>
      <w:r w:rsidRPr="002C7583">
        <w:rPr>
          <w:rFonts w:ascii="Arial" w:eastAsia="Times New Roman" w:hAnsi="Arial" w:cs="Arial"/>
          <w:lang w:eastAsia="es-ES"/>
        </w:rPr>
        <w:t>. Se modifica el texto de la rúbrica de la Sección 4.ª del Capítulo II del Título XVIII del Libro II, con la siguiente redacción:</w:t>
      </w:r>
    </w:p>
    <w:p w14:paraId="4DFAC9CD" w14:textId="77777777" w:rsidR="002C7583" w:rsidRPr="002C7583" w:rsidRDefault="002C7583" w:rsidP="002C7583">
      <w:pPr>
        <w:spacing w:after="0" w:line="240" w:lineRule="auto"/>
        <w:jc w:val="both"/>
        <w:rPr>
          <w:rFonts w:ascii="Arial" w:eastAsia="Times New Roman" w:hAnsi="Arial" w:cs="Arial"/>
          <w:lang w:eastAsia="es-ES"/>
        </w:rPr>
      </w:pPr>
    </w:p>
    <w:p w14:paraId="291C8F72" w14:textId="77777777" w:rsidR="002C7583" w:rsidRPr="002C7583" w:rsidRDefault="002C7583" w:rsidP="002C7583">
      <w:pPr>
        <w:spacing w:after="0" w:line="240" w:lineRule="auto"/>
        <w:jc w:val="both"/>
        <w:rPr>
          <w:rFonts w:ascii="Arial" w:eastAsia="Times New Roman" w:hAnsi="Arial" w:cs="Arial"/>
          <w:lang w:eastAsia="es-ES"/>
        </w:rPr>
      </w:pPr>
      <w:r w:rsidRPr="002C7583">
        <w:rPr>
          <w:rFonts w:ascii="Arial" w:eastAsia="Times New Roman" w:hAnsi="Arial" w:cs="Arial"/>
          <w:lang w:eastAsia="es-ES"/>
        </w:rPr>
        <w:t xml:space="preserve"> “De la falsificación de tarjetas de crédito y débito, cheques de viaje y demás instrumentos de pago distintos del efectivo.”</w:t>
      </w:r>
    </w:p>
    <w:p w14:paraId="47B7D750" w14:textId="77777777" w:rsidR="002C7583" w:rsidRPr="002C7583" w:rsidRDefault="002C7583" w:rsidP="002C7583">
      <w:pPr>
        <w:spacing w:after="0" w:line="240" w:lineRule="auto"/>
        <w:jc w:val="both"/>
        <w:rPr>
          <w:rFonts w:ascii="Arial" w:eastAsia="Times New Roman" w:hAnsi="Arial" w:cs="Arial"/>
          <w:lang w:eastAsia="es-ES"/>
        </w:rPr>
      </w:pPr>
    </w:p>
    <w:p w14:paraId="72CBFC2A" w14:textId="77777777" w:rsidR="002C7583" w:rsidRPr="002C7583" w:rsidRDefault="002C7583" w:rsidP="002C7583">
      <w:pPr>
        <w:spacing w:after="0" w:line="240" w:lineRule="auto"/>
        <w:jc w:val="both"/>
        <w:rPr>
          <w:rFonts w:ascii="Arial" w:eastAsia="Times New Roman" w:hAnsi="Arial" w:cs="Arial"/>
          <w:lang w:eastAsia="es-ES"/>
        </w:rPr>
      </w:pPr>
      <w:r w:rsidRPr="002C7583">
        <w:rPr>
          <w:rFonts w:ascii="Arial" w:eastAsia="Times New Roman" w:hAnsi="Arial" w:cs="Arial"/>
          <w:b/>
          <w:lang w:eastAsia="es-ES"/>
        </w:rPr>
        <w:t>Once</w:t>
      </w:r>
      <w:r w:rsidRPr="002C7583">
        <w:rPr>
          <w:rFonts w:ascii="Arial" w:eastAsia="Times New Roman" w:hAnsi="Arial" w:cs="Arial"/>
          <w:lang w:eastAsia="es-ES"/>
        </w:rPr>
        <w:t xml:space="preserve">. Se modifica el artículo 399 bis, que queda redactado como sigue: </w:t>
      </w:r>
    </w:p>
    <w:p w14:paraId="1695CAE0" w14:textId="77777777" w:rsidR="002C7583" w:rsidRPr="002C7583" w:rsidRDefault="002C7583" w:rsidP="002C7583">
      <w:pPr>
        <w:spacing w:after="0" w:line="240" w:lineRule="auto"/>
        <w:jc w:val="both"/>
        <w:rPr>
          <w:rFonts w:ascii="Arial" w:eastAsia="Times New Roman" w:hAnsi="Arial" w:cs="Arial"/>
          <w:lang w:eastAsia="es-ES"/>
        </w:rPr>
      </w:pPr>
    </w:p>
    <w:p w14:paraId="0B94B158" w14:textId="77777777" w:rsidR="002C7583" w:rsidRPr="002C7583" w:rsidRDefault="002C7583" w:rsidP="002C7583">
      <w:pPr>
        <w:spacing w:after="0" w:line="240" w:lineRule="auto"/>
        <w:jc w:val="both"/>
        <w:rPr>
          <w:rFonts w:ascii="Arial" w:eastAsia="Times New Roman" w:hAnsi="Arial" w:cs="Arial"/>
          <w:lang w:eastAsia="es-ES"/>
        </w:rPr>
      </w:pPr>
      <w:r w:rsidRPr="002C7583">
        <w:rPr>
          <w:rFonts w:ascii="Arial" w:eastAsia="Times New Roman" w:hAnsi="Arial" w:cs="Arial"/>
          <w:lang w:eastAsia="es-ES"/>
        </w:rPr>
        <w:t xml:space="preserve">“1. El que altere, copie, reproduzca o de cualquier otro modo falsifique tarjetas de crédito o débito, cheques de viaje o cualquier otro instrumento de pago distinto del efectivo, será castigado con la pena de prisión de cuatro a ocho años. </w:t>
      </w:r>
    </w:p>
    <w:p w14:paraId="626438C2" w14:textId="77777777" w:rsidR="002C7583" w:rsidRPr="002C7583" w:rsidRDefault="002C7583" w:rsidP="002C7583">
      <w:pPr>
        <w:spacing w:after="0" w:line="240" w:lineRule="auto"/>
        <w:jc w:val="both"/>
        <w:rPr>
          <w:rFonts w:ascii="Arial" w:eastAsia="Times New Roman" w:hAnsi="Arial" w:cs="Arial"/>
          <w:lang w:eastAsia="es-ES"/>
        </w:rPr>
      </w:pPr>
    </w:p>
    <w:p w14:paraId="39E268BB" w14:textId="77777777" w:rsidR="002C7583" w:rsidRPr="002C7583" w:rsidRDefault="002C7583" w:rsidP="002C7583">
      <w:pPr>
        <w:spacing w:after="0" w:line="240" w:lineRule="auto"/>
        <w:jc w:val="both"/>
        <w:rPr>
          <w:rFonts w:ascii="Arial" w:eastAsia="Times New Roman" w:hAnsi="Arial" w:cs="Arial"/>
          <w:lang w:eastAsia="es-ES"/>
        </w:rPr>
      </w:pPr>
      <w:r w:rsidRPr="002C7583">
        <w:rPr>
          <w:rFonts w:ascii="Arial" w:eastAsia="Times New Roman" w:hAnsi="Arial" w:cs="Arial"/>
          <w:lang w:eastAsia="es-ES"/>
        </w:rPr>
        <w:t xml:space="preserve">Se impondrá la pena en su mitad superior cuando los efectos falsificados afecten a una generalidad de personas o cuando los hechos se cometan en el marco de una organización criminal dedicada a estas actividades. </w:t>
      </w:r>
    </w:p>
    <w:p w14:paraId="3DD8AA3F" w14:textId="77777777" w:rsidR="002C7583" w:rsidRPr="002C7583" w:rsidRDefault="002C7583" w:rsidP="002C7583">
      <w:pPr>
        <w:spacing w:after="0" w:line="240" w:lineRule="auto"/>
        <w:jc w:val="both"/>
        <w:rPr>
          <w:rFonts w:ascii="Arial" w:eastAsia="Times New Roman" w:hAnsi="Arial" w:cs="Arial"/>
          <w:lang w:eastAsia="es-ES"/>
        </w:rPr>
      </w:pPr>
    </w:p>
    <w:p w14:paraId="3C080456" w14:textId="77777777" w:rsidR="002C7583" w:rsidRPr="002C7583" w:rsidRDefault="002C7583" w:rsidP="002C7583">
      <w:pPr>
        <w:spacing w:after="0" w:line="240" w:lineRule="auto"/>
        <w:jc w:val="both"/>
        <w:rPr>
          <w:rFonts w:ascii="Arial" w:eastAsia="Times New Roman" w:hAnsi="Arial" w:cs="Arial"/>
          <w:lang w:eastAsia="es-ES"/>
        </w:rPr>
      </w:pPr>
      <w:r w:rsidRPr="002C7583">
        <w:rPr>
          <w:rFonts w:ascii="Arial" w:eastAsia="Times New Roman" w:hAnsi="Arial" w:cs="Arial"/>
          <w:lang w:eastAsia="es-ES"/>
        </w:rPr>
        <w:t xml:space="preserve">Cuando de acuerdo con lo establecido en el artículo 31 bis una persona jurídica sea responsable de los anteriores delitos, se le impondrá la pena de multa de dos a cinco años. Atendidas las reglas establecidas en el artículo 66 bis, los jueces y tribunales podrán asimismo imponer las penas recogidas en las letras b) a g) del apartado 7 del artículo 33. </w:t>
      </w:r>
    </w:p>
    <w:p w14:paraId="1A9B1BBB" w14:textId="77777777" w:rsidR="002C7583" w:rsidRPr="002C7583" w:rsidRDefault="002C7583" w:rsidP="002C7583">
      <w:pPr>
        <w:spacing w:after="0" w:line="240" w:lineRule="auto"/>
        <w:jc w:val="both"/>
        <w:rPr>
          <w:rFonts w:ascii="Arial" w:eastAsia="Times New Roman" w:hAnsi="Arial" w:cs="Arial"/>
          <w:lang w:eastAsia="es-ES"/>
        </w:rPr>
      </w:pPr>
    </w:p>
    <w:p w14:paraId="4B838929" w14:textId="77777777" w:rsidR="002C7583" w:rsidRPr="002C7583" w:rsidRDefault="002C7583" w:rsidP="002C7583">
      <w:pPr>
        <w:spacing w:after="0" w:line="240" w:lineRule="auto"/>
        <w:jc w:val="both"/>
        <w:rPr>
          <w:rFonts w:ascii="Arial" w:eastAsia="Times New Roman" w:hAnsi="Arial" w:cs="Arial"/>
          <w:lang w:eastAsia="es-ES"/>
        </w:rPr>
      </w:pPr>
      <w:r w:rsidRPr="002C7583">
        <w:rPr>
          <w:rFonts w:ascii="Arial" w:eastAsia="Times New Roman" w:hAnsi="Arial" w:cs="Arial"/>
          <w:lang w:eastAsia="es-ES"/>
        </w:rPr>
        <w:t xml:space="preserve">2. La tenencia de tarjetas de crédito o débito, cheques de viaje o cualesquiera otros instrumentos de pago distintos del efectivo falsificados, destinados a la distribución o tráfico será castigada con la pena señalada a la falsificación. </w:t>
      </w:r>
    </w:p>
    <w:p w14:paraId="1031B487" w14:textId="77777777" w:rsidR="002C7583" w:rsidRPr="002C7583" w:rsidRDefault="002C7583" w:rsidP="002C7583">
      <w:pPr>
        <w:spacing w:after="0" w:line="240" w:lineRule="auto"/>
        <w:jc w:val="both"/>
        <w:rPr>
          <w:rFonts w:ascii="Arial" w:eastAsia="Times New Roman" w:hAnsi="Arial" w:cs="Arial"/>
          <w:lang w:eastAsia="es-ES"/>
        </w:rPr>
      </w:pPr>
    </w:p>
    <w:p w14:paraId="5DE74F38" w14:textId="77777777" w:rsidR="002C7583" w:rsidRPr="002C7583" w:rsidRDefault="002C7583" w:rsidP="002C7583">
      <w:pPr>
        <w:spacing w:after="0" w:line="240" w:lineRule="auto"/>
        <w:jc w:val="both"/>
        <w:rPr>
          <w:rFonts w:ascii="Arial" w:eastAsia="Times New Roman" w:hAnsi="Arial" w:cs="Arial"/>
          <w:lang w:eastAsia="es-ES"/>
        </w:rPr>
      </w:pPr>
      <w:r w:rsidRPr="002C7583">
        <w:rPr>
          <w:rFonts w:ascii="Arial" w:eastAsia="Times New Roman" w:hAnsi="Arial" w:cs="Arial"/>
          <w:lang w:eastAsia="es-ES"/>
        </w:rPr>
        <w:t xml:space="preserve">3. El que sin haber intervenido en la falsificación usare, en perjuicio de otro y a sabiendas de la falsedad, tarjetas de crédito o débito, cheques de viaje o cualesquiera otros </w:t>
      </w:r>
      <w:r w:rsidRPr="002C7583">
        <w:rPr>
          <w:rFonts w:ascii="Arial" w:eastAsia="Times New Roman" w:hAnsi="Arial" w:cs="Arial"/>
          <w:lang w:eastAsia="es-ES"/>
        </w:rPr>
        <w:lastRenderedPageBreak/>
        <w:t xml:space="preserve">instrumentos de pago distintos del efectivo falsificados, será castigado con la pena de prisión de dos a cinco años. </w:t>
      </w:r>
    </w:p>
    <w:p w14:paraId="0DD70FAF" w14:textId="77777777" w:rsidR="002C7583" w:rsidRPr="002C7583" w:rsidRDefault="002C7583" w:rsidP="002C7583">
      <w:pPr>
        <w:spacing w:after="0" w:line="240" w:lineRule="auto"/>
        <w:jc w:val="both"/>
        <w:rPr>
          <w:rFonts w:ascii="Arial" w:eastAsia="Times New Roman" w:hAnsi="Arial" w:cs="Arial"/>
          <w:lang w:eastAsia="es-ES"/>
        </w:rPr>
      </w:pPr>
    </w:p>
    <w:p w14:paraId="0E81551D" w14:textId="77777777" w:rsidR="002C7583" w:rsidRPr="002C7583" w:rsidRDefault="002C7583" w:rsidP="002C7583">
      <w:pPr>
        <w:spacing w:after="0" w:line="240" w:lineRule="auto"/>
        <w:jc w:val="both"/>
        <w:rPr>
          <w:rFonts w:ascii="Arial" w:eastAsia="Times New Roman" w:hAnsi="Arial" w:cs="Arial"/>
          <w:lang w:eastAsia="es-ES"/>
        </w:rPr>
      </w:pPr>
      <w:r w:rsidRPr="002C7583">
        <w:rPr>
          <w:rFonts w:ascii="Arial" w:eastAsia="Times New Roman" w:hAnsi="Arial" w:cs="Arial"/>
          <w:lang w:eastAsia="es-ES"/>
        </w:rPr>
        <w:t>4. El que, para su utilización fraudulenta y a sabiendas de su falsedad, posea u obtenga, para sí o para un tercero, tarjetas de crédito o débito, cheques de viaje o cualquier otro instrumento de pago distinto del efectivo será castigado con pena de prisión de uno a dos años.”</w:t>
      </w:r>
    </w:p>
    <w:p w14:paraId="12AAF747" w14:textId="77777777" w:rsidR="002C7583" w:rsidRPr="002C7583" w:rsidRDefault="002C7583" w:rsidP="002C7583">
      <w:pPr>
        <w:spacing w:after="0" w:line="240" w:lineRule="auto"/>
        <w:jc w:val="both"/>
        <w:rPr>
          <w:rFonts w:ascii="Arial" w:eastAsia="Times New Roman" w:hAnsi="Arial" w:cs="Arial"/>
          <w:lang w:eastAsia="es-ES"/>
        </w:rPr>
      </w:pPr>
    </w:p>
    <w:p w14:paraId="43DD2C0B" w14:textId="77777777" w:rsidR="002C7583" w:rsidRPr="002C7583" w:rsidRDefault="002C7583" w:rsidP="002C7583">
      <w:pPr>
        <w:spacing w:after="0" w:line="240" w:lineRule="auto"/>
        <w:jc w:val="both"/>
        <w:rPr>
          <w:rFonts w:ascii="Arial" w:eastAsia="Times New Roman" w:hAnsi="Arial" w:cs="Arial"/>
          <w:lang w:eastAsia="es-ES"/>
        </w:rPr>
      </w:pPr>
      <w:r w:rsidRPr="002C7583">
        <w:rPr>
          <w:rFonts w:ascii="Arial" w:eastAsia="Times New Roman" w:hAnsi="Arial" w:cs="Arial"/>
          <w:b/>
          <w:lang w:eastAsia="es-ES"/>
        </w:rPr>
        <w:t>Doce</w:t>
      </w:r>
      <w:r w:rsidRPr="002C7583">
        <w:rPr>
          <w:rFonts w:ascii="Arial" w:eastAsia="Times New Roman" w:hAnsi="Arial" w:cs="Arial"/>
          <w:lang w:eastAsia="es-ES"/>
        </w:rPr>
        <w:t xml:space="preserve">. Se añade un nuevo artículo 399 ter, con la siguiente redacción: </w:t>
      </w:r>
    </w:p>
    <w:p w14:paraId="16EF8641" w14:textId="77777777" w:rsidR="002C7583" w:rsidRPr="002C7583" w:rsidRDefault="002C7583" w:rsidP="002C7583">
      <w:pPr>
        <w:spacing w:after="0" w:line="240" w:lineRule="auto"/>
        <w:jc w:val="both"/>
        <w:rPr>
          <w:rFonts w:ascii="Arial" w:eastAsia="Times New Roman" w:hAnsi="Arial" w:cs="Arial"/>
          <w:lang w:eastAsia="es-ES"/>
        </w:rPr>
      </w:pPr>
    </w:p>
    <w:p w14:paraId="7DFE206F" w14:textId="77777777" w:rsidR="002C7583" w:rsidRPr="002C7583" w:rsidRDefault="002C7583" w:rsidP="002C7583">
      <w:pPr>
        <w:spacing w:after="0" w:line="240" w:lineRule="auto"/>
        <w:jc w:val="both"/>
        <w:rPr>
          <w:rFonts w:ascii="Arial" w:eastAsia="Times New Roman" w:hAnsi="Arial" w:cs="Arial"/>
          <w:lang w:eastAsia="es-ES"/>
        </w:rPr>
      </w:pPr>
      <w:r w:rsidRPr="002C7583">
        <w:rPr>
          <w:rFonts w:ascii="Arial" w:eastAsia="Times New Roman" w:hAnsi="Arial" w:cs="Arial"/>
          <w:lang w:eastAsia="es-ES"/>
        </w:rPr>
        <w:t xml:space="preserve">“A los efectos de este Código, se entiende por instrumento de pago distinto del efectivo cualquier dispositivo, objeto o registro protegido, material o inmaterial, o una combinación de estos, exceptuada la moneda de curso legal, que, por sí solo o en combinación con un procedimiento o conjunto de procedimientos, permite al titular o usuario transferir dinero o valor monetario incluso a través de medios digitales de intercambio.” </w:t>
      </w:r>
    </w:p>
    <w:p w14:paraId="192F44B4" w14:textId="77777777" w:rsidR="002C7583" w:rsidRPr="002C7583" w:rsidRDefault="002C7583" w:rsidP="002C7583">
      <w:pPr>
        <w:spacing w:after="0" w:line="240" w:lineRule="auto"/>
        <w:jc w:val="both"/>
        <w:rPr>
          <w:rFonts w:ascii="Arial" w:eastAsia="Times New Roman" w:hAnsi="Arial" w:cs="Arial"/>
          <w:lang w:eastAsia="es-ES"/>
        </w:rPr>
      </w:pPr>
    </w:p>
    <w:p w14:paraId="456B62F7" w14:textId="77777777" w:rsidR="002C7583" w:rsidRPr="002C7583" w:rsidRDefault="002C7583" w:rsidP="002C7583">
      <w:pPr>
        <w:spacing w:after="0" w:line="240" w:lineRule="auto"/>
        <w:jc w:val="both"/>
        <w:rPr>
          <w:rFonts w:ascii="Arial" w:eastAsia="Times New Roman" w:hAnsi="Arial" w:cs="Arial"/>
          <w:lang w:eastAsia="es-ES"/>
        </w:rPr>
      </w:pPr>
      <w:r w:rsidRPr="002C7583">
        <w:rPr>
          <w:rFonts w:ascii="Arial" w:eastAsia="Times New Roman" w:hAnsi="Arial" w:cs="Arial"/>
          <w:b/>
          <w:lang w:eastAsia="es-ES"/>
        </w:rPr>
        <w:t>Trece</w:t>
      </w:r>
      <w:r w:rsidRPr="002C7583">
        <w:rPr>
          <w:rFonts w:ascii="Arial" w:eastAsia="Times New Roman" w:hAnsi="Arial" w:cs="Arial"/>
          <w:lang w:eastAsia="es-ES"/>
        </w:rPr>
        <w:t xml:space="preserve">. Se modifica el artículo 400, que queda redactado como sigue: </w:t>
      </w:r>
    </w:p>
    <w:p w14:paraId="43C072B3" w14:textId="77777777" w:rsidR="002C7583" w:rsidRPr="002C7583" w:rsidRDefault="002C7583" w:rsidP="002C7583">
      <w:pPr>
        <w:spacing w:after="0" w:line="240" w:lineRule="auto"/>
        <w:jc w:val="both"/>
        <w:rPr>
          <w:rFonts w:ascii="Arial" w:eastAsia="Times New Roman" w:hAnsi="Arial" w:cs="Arial"/>
          <w:lang w:eastAsia="es-ES"/>
        </w:rPr>
      </w:pPr>
    </w:p>
    <w:p w14:paraId="48FD161E" w14:textId="77777777" w:rsidR="002C7583" w:rsidRPr="002C7583" w:rsidRDefault="002C7583" w:rsidP="002C7583">
      <w:pPr>
        <w:spacing w:after="0" w:line="240" w:lineRule="auto"/>
        <w:jc w:val="both"/>
        <w:rPr>
          <w:rFonts w:ascii="Arial" w:eastAsia="Times New Roman" w:hAnsi="Arial" w:cs="Arial"/>
          <w:lang w:eastAsia="es-ES"/>
        </w:rPr>
      </w:pPr>
      <w:r w:rsidRPr="002C7583">
        <w:rPr>
          <w:rFonts w:ascii="Arial" w:eastAsia="Times New Roman" w:hAnsi="Arial" w:cs="Arial"/>
          <w:lang w:eastAsia="es-ES"/>
        </w:rPr>
        <w:t>“La fabricación, recepción, obtención, tenencia, distribución, puesta a disposición o comercialización de útiles, materiales, instrumentos, sustancias, datos y programas informáticos, aparatos, elementos de seguridad o cualquier otro medio diseñado o adaptado específicamente para la comisión de los delitos descritos en los Capítulos anteriores, se castigarán con la pena señalada en cada caso para los autores”.</w:t>
      </w:r>
    </w:p>
    <w:p w14:paraId="3046559D" w14:textId="77777777" w:rsidR="002C7583" w:rsidRPr="002C7583" w:rsidRDefault="002C7583" w:rsidP="002C7583">
      <w:pPr>
        <w:spacing w:after="0" w:line="240" w:lineRule="auto"/>
        <w:jc w:val="both"/>
        <w:rPr>
          <w:rFonts w:ascii="Arial" w:eastAsia="Times New Roman" w:hAnsi="Arial" w:cs="Arial"/>
          <w:lang w:eastAsia="es-ES"/>
        </w:rPr>
      </w:pPr>
    </w:p>
    <w:p w14:paraId="154F4446" w14:textId="77777777" w:rsidR="002C7583" w:rsidRPr="002C7583" w:rsidRDefault="002C7583" w:rsidP="002C7583">
      <w:pPr>
        <w:spacing w:after="0" w:line="240" w:lineRule="auto"/>
        <w:jc w:val="both"/>
        <w:rPr>
          <w:rFonts w:ascii="Arial" w:eastAsia="Times New Roman" w:hAnsi="Arial" w:cs="Arial"/>
          <w:lang w:eastAsia="es-ES"/>
        </w:rPr>
      </w:pPr>
      <w:r w:rsidRPr="002C7583">
        <w:rPr>
          <w:rFonts w:ascii="Arial" w:eastAsia="Times New Roman" w:hAnsi="Arial" w:cs="Arial"/>
          <w:b/>
          <w:bCs/>
          <w:lang w:eastAsia="es-ES"/>
        </w:rPr>
        <w:t>Catorce</w:t>
      </w:r>
      <w:r w:rsidRPr="002C7583">
        <w:rPr>
          <w:rFonts w:ascii="Arial" w:eastAsia="Times New Roman" w:hAnsi="Arial" w:cs="Arial"/>
          <w:lang w:eastAsia="es-ES"/>
        </w:rPr>
        <w:t>. Se suprime el Capítulo I del Título XXII</w:t>
      </w:r>
    </w:p>
    <w:p w14:paraId="1CFAFBE9" w14:textId="77777777" w:rsidR="002C7583" w:rsidRPr="002C7583" w:rsidRDefault="002C7583" w:rsidP="002C7583">
      <w:pPr>
        <w:spacing w:after="0" w:line="240" w:lineRule="auto"/>
        <w:jc w:val="both"/>
        <w:rPr>
          <w:rFonts w:ascii="Arial" w:eastAsia="Times New Roman" w:hAnsi="Arial" w:cs="Arial"/>
          <w:lang w:eastAsia="es-ES"/>
        </w:rPr>
      </w:pPr>
    </w:p>
    <w:p w14:paraId="639EE240" w14:textId="77777777" w:rsidR="002C7583" w:rsidRPr="002C7583" w:rsidRDefault="002C7583" w:rsidP="002C7583">
      <w:pPr>
        <w:spacing w:after="0" w:line="240" w:lineRule="auto"/>
        <w:jc w:val="both"/>
        <w:rPr>
          <w:rFonts w:ascii="Arial" w:eastAsia="Times New Roman" w:hAnsi="Arial" w:cs="Arial"/>
          <w:lang w:eastAsia="es-ES"/>
        </w:rPr>
      </w:pPr>
      <w:r w:rsidRPr="002C7583">
        <w:rPr>
          <w:rFonts w:ascii="Arial" w:eastAsia="Times New Roman" w:hAnsi="Arial" w:cs="Arial"/>
          <w:b/>
          <w:bCs/>
          <w:lang w:eastAsia="es-ES"/>
        </w:rPr>
        <w:t>Quince</w:t>
      </w:r>
      <w:r w:rsidRPr="002C7583">
        <w:rPr>
          <w:rFonts w:ascii="Arial" w:eastAsia="Times New Roman" w:hAnsi="Arial" w:cs="Arial"/>
          <w:lang w:eastAsia="es-ES"/>
        </w:rPr>
        <w:t>. Se modifica el artículo 557, que queda redactado como sigue:</w:t>
      </w:r>
    </w:p>
    <w:p w14:paraId="615A8B76" w14:textId="77777777" w:rsidR="002C7583" w:rsidRPr="002C7583" w:rsidRDefault="002C7583" w:rsidP="002C7583">
      <w:pPr>
        <w:spacing w:after="0" w:line="240" w:lineRule="auto"/>
        <w:jc w:val="both"/>
        <w:rPr>
          <w:rFonts w:ascii="Arial" w:eastAsia="Times New Roman" w:hAnsi="Arial" w:cs="Arial"/>
          <w:lang w:eastAsia="es-ES"/>
        </w:rPr>
      </w:pPr>
    </w:p>
    <w:p w14:paraId="69A52261" w14:textId="77777777" w:rsidR="002C7583" w:rsidRPr="002C7583" w:rsidRDefault="002C7583" w:rsidP="002C7583">
      <w:pPr>
        <w:spacing w:after="0" w:line="240" w:lineRule="auto"/>
        <w:jc w:val="both"/>
        <w:rPr>
          <w:rFonts w:ascii="Arial" w:eastAsia="Times New Roman" w:hAnsi="Arial" w:cs="Arial"/>
          <w:lang w:eastAsia="es-ES"/>
        </w:rPr>
      </w:pPr>
      <w:r w:rsidRPr="002C7583">
        <w:rPr>
          <w:rFonts w:ascii="Arial" w:eastAsia="Times New Roman" w:hAnsi="Arial" w:cs="Arial"/>
          <w:lang w:eastAsia="es-ES"/>
        </w:rPr>
        <w:t>1.“Serán castigados con la pena de prisión de seis meses a tres años los que, actuando en grupo y con el fin de atentar contra la paz pública, ejecuten actos de violencia o intimidación:</w:t>
      </w:r>
    </w:p>
    <w:p w14:paraId="7F24CE62" w14:textId="77777777" w:rsidR="002C7583" w:rsidRPr="002C7583" w:rsidRDefault="002C7583" w:rsidP="002C7583">
      <w:pPr>
        <w:spacing w:after="0" w:line="240" w:lineRule="auto"/>
        <w:jc w:val="both"/>
        <w:rPr>
          <w:rFonts w:ascii="Arial" w:eastAsia="Times New Roman" w:hAnsi="Arial" w:cs="Arial"/>
          <w:lang w:eastAsia="es-ES"/>
        </w:rPr>
      </w:pPr>
      <w:r w:rsidRPr="002C7583">
        <w:rPr>
          <w:rFonts w:ascii="Arial" w:eastAsia="Times New Roman" w:hAnsi="Arial" w:cs="Arial"/>
          <w:lang w:eastAsia="es-ES"/>
        </w:rPr>
        <w:t>(a)</w:t>
      </w:r>
      <w:r w:rsidRPr="002C7583">
        <w:rPr>
          <w:rFonts w:ascii="Arial" w:eastAsia="Times New Roman" w:hAnsi="Arial" w:cs="Arial"/>
          <w:lang w:eastAsia="es-ES"/>
        </w:rPr>
        <w:tab/>
        <w:t>sobre las personas o las cosas; u</w:t>
      </w:r>
    </w:p>
    <w:p w14:paraId="420E7C10" w14:textId="77777777" w:rsidR="002C7583" w:rsidRPr="002C7583" w:rsidRDefault="002C7583" w:rsidP="002C7583">
      <w:pPr>
        <w:spacing w:after="0" w:line="240" w:lineRule="auto"/>
        <w:jc w:val="both"/>
        <w:rPr>
          <w:rFonts w:ascii="Arial" w:eastAsia="Times New Roman" w:hAnsi="Arial" w:cs="Arial"/>
          <w:lang w:eastAsia="es-ES"/>
        </w:rPr>
      </w:pPr>
      <w:r w:rsidRPr="002C7583">
        <w:rPr>
          <w:rFonts w:ascii="Arial" w:eastAsia="Times New Roman" w:hAnsi="Arial" w:cs="Arial"/>
          <w:lang w:eastAsia="es-ES"/>
        </w:rPr>
        <w:t>(b)</w:t>
      </w:r>
      <w:r w:rsidRPr="002C7583">
        <w:rPr>
          <w:rFonts w:ascii="Arial" w:eastAsia="Times New Roman" w:hAnsi="Arial" w:cs="Arial"/>
          <w:lang w:eastAsia="es-ES"/>
        </w:rPr>
        <w:tab/>
        <w:t>obstaculizando las vías públicas ocasionando un peligro para la vida o salud de las personas; o</w:t>
      </w:r>
    </w:p>
    <w:p w14:paraId="40BA5265" w14:textId="77777777" w:rsidR="002C7583" w:rsidRPr="002C7583" w:rsidRDefault="002C7583" w:rsidP="002C758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lang w:eastAsia="es-ES"/>
        </w:rPr>
      </w:pPr>
      <w:r w:rsidRPr="002C7583">
        <w:rPr>
          <w:rFonts w:ascii="Arial" w:eastAsia="Times New Roman" w:hAnsi="Arial" w:cs="Arial"/>
          <w:lang w:eastAsia="es-ES"/>
        </w:rPr>
        <w:t>(c)</w:t>
      </w:r>
      <w:r w:rsidRPr="002C7583">
        <w:rPr>
          <w:rFonts w:ascii="Arial" w:eastAsia="Times New Roman" w:hAnsi="Arial" w:cs="Arial"/>
          <w:lang w:eastAsia="es-ES"/>
        </w:rPr>
        <w:tab/>
        <w:t xml:space="preserve">invadiendo instalaciones o edificios </w:t>
      </w:r>
    </w:p>
    <w:p w14:paraId="46F7CBB3" w14:textId="77777777" w:rsidR="002C7583" w:rsidRPr="002C7583" w:rsidRDefault="002C7583" w:rsidP="002C7583">
      <w:pPr>
        <w:spacing w:after="0" w:line="240" w:lineRule="auto"/>
        <w:jc w:val="both"/>
        <w:rPr>
          <w:rFonts w:ascii="Arial" w:eastAsia="Times New Roman" w:hAnsi="Arial" w:cs="Arial"/>
          <w:lang w:eastAsia="es-ES"/>
        </w:rPr>
      </w:pPr>
      <w:r w:rsidRPr="002C7583">
        <w:rPr>
          <w:rFonts w:ascii="Arial" w:eastAsia="Times New Roman" w:hAnsi="Arial" w:cs="Arial"/>
          <w:lang w:eastAsia="es-ES"/>
        </w:rPr>
        <w:t>2. Los hechos descritos en el apartado anterior serán castigados con la pena de prisión de tres a cinco años e inhabilitación especial para empleo o cargo público por el mismo tiempo cuando se cometan por una multitud cuyo número, organización y propósito sean idóneos para afectar gravemente el orden público.  En caso de hallarse los autores constituidos en autoridad, la pena de inhabilitación será absoluta por tiempo de seis a ocho años.</w:t>
      </w:r>
    </w:p>
    <w:p w14:paraId="2B4E7828" w14:textId="77777777" w:rsidR="002C7583" w:rsidRPr="002C7583" w:rsidRDefault="002C7583" w:rsidP="002C7583">
      <w:pPr>
        <w:spacing w:after="0" w:line="240" w:lineRule="auto"/>
        <w:jc w:val="both"/>
        <w:rPr>
          <w:rFonts w:ascii="Arial" w:eastAsia="Times New Roman" w:hAnsi="Arial" w:cs="Arial"/>
          <w:lang w:eastAsia="es-ES"/>
        </w:rPr>
      </w:pPr>
    </w:p>
    <w:p w14:paraId="7C64601C" w14:textId="77777777" w:rsidR="002C7583" w:rsidRPr="002C7583" w:rsidRDefault="002C7583" w:rsidP="002C75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0070C0"/>
          <w:lang w:val="es-ES_tradnl" w:eastAsia="es-ES"/>
          <w14:textOutline w14:w="12700" w14:cap="flat" w14:cmpd="sng" w14:algn="ctr">
            <w14:noFill/>
            <w14:prstDash w14:val="solid"/>
            <w14:miter w14:lim="400000"/>
          </w14:textOutline>
        </w:rPr>
      </w:pPr>
      <w:r w:rsidRPr="002C7583">
        <w:rPr>
          <w:rFonts w:ascii="Arial" w:eastAsia="Times New Roman" w:hAnsi="Arial" w:cs="Arial"/>
          <w:u w:color="0070C0"/>
          <w:lang w:val="es-ES_tradnl" w:eastAsia="es-ES"/>
          <w14:textOutline w14:w="12700" w14:cap="flat" w14:cmpd="sng" w14:algn="ctr">
            <w14:noFill/>
            <w14:prstDash w14:val="solid"/>
            <w14:miter w14:lim="400000"/>
          </w14:textOutline>
        </w:rPr>
        <w:t>3. Las penas de los apartados anteriores se impondrán en su mitad superior a los intervinientes que portaran instrumentos peligrosos o a los que llevaran a cabo actos de pillaje.</w:t>
      </w:r>
    </w:p>
    <w:p w14:paraId="31C7FA40" w14:textId="77777777" w:rsidR="002C7583" w:rsidRPr="002C7583" w:rsidRDefault="002C7583" w:rsidP="002C75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0070C0"/>
          <w:lang w:val="es-ES_tradnl" w:eastAsia="es-ES"/>
          <w14:textOutline w14:w="12700" w14:cap="flat" w14:cmpd="sng" w14:algn="ctr">
            <w14:noFill/>
            <w14:prstDash w14:val="solid"/>
            <w14:miter w14:lim="400000"/>
          </w14:textOutline>
        </w:rPr>
      </w:pPr>
      <w:r w:rsidRPr="002C7583">
        <w:rPr>
          <w:rFonts w:ascii="Arial" w:eastAsia="Times New Roman" w:hAnsi="Arial" w:cs="Arial"/>
          <w:u w:color="0070C0"/>
          <w:lang w:val="es-ES_tradnl" w:eastAsia="es-ES"/>
          <w14:textOutline w14:w="12700" w14:cap="flat" w14:cmpd="sng" w14:algn="ctr">
            <w14:noFill/>
            <w14:prstDash w14:val="solid"/>
            <w14:miter w14:lim="400000"/>
          </w14:textOutline>
        </w:rPr>
        <w:lastRenderedPageBreak/>
        <w:t>Estas penas se aplicarán en un grado superior cuando se portaran armas de fuego.</w:t>
      </w:r>
    </w:p>
    <w:p w14:paraId="5FD82843" w14:textId="77777777" w:rsidR="002C7583" w:rsidRPr="002C7583" w:rsidRDefault="002C7583" w:rsidP="002C7583">
      <w:pPr>
        <w:spacing w:after="0" w:line="240" w:lineRule="auto"/>
        <w:jc w:val="both"/>
        <w:rPr>
          <w:rFonts w:ascii="Arial" w:eastAsia="Times New Roman" w:hAnsi="Arial" w:cs="Arial"/>
          <w:lang w:val="es-ES_tradnl" w:eastAsia="es-ES"/>
        </w:rPr>
      </w:pPr>
    </w:p>
    <w:p w14:paraId="028D8954" w14:textId="77777777" w:rsidR="002C7583" w:rsidRPr="002C7583" w:rsidRDefault="002C7583" w:rsidP="002C7583">
      <w:pPr>
        <w:spacing w:after="0" w:line="240" w:lineRule="auto"/>
        <w:jc w:val="both"/>
        <w:rPr>
          <w:rFonts w:ascii="Arial" w:eastAsia="Times New Roman" w:hAnsi="Arial" w:cs="Arial"/>
          <w:lang w:eastAsia="es-ES"/>
        </w:rPr>
      </w:pPr>
      <w:r w:rsidRPr="002C7583">
        <w:rPr>
          <w:rFonts w:ascii="Arial" w:eastAsia="Times New Roman" w:hAnsi="Arial" w:cs="Arial"/>
          <w:lang w:eastAsia="es-ES"/>
        </w:rPr>
        <w:t>4. La provocación, la conspiración y la proposición para las conductas previstas en los números dos y tres del presente artículo serán punibles con las penas inferiores en uno o dos grados a las respectivamente previstas.</w:t>
      </w:r>
    </w:p>
    <w:p w14:paraId="0ADA2014" w14:textId="77777777" w:rsidR="002C7583" w:rsidRPr="002C7583" w:rsidRDefault="002C7583" w:rsidP="002C7583">
      <w:pPr>
        <w:spacing w:after="0" w:line="240" w:lineRule="auto"/>
        <w:jc w:val="both"/>
        <w:rPr>
          <w:rFonts w:ascii="Arial" w:eastAsia="Times New Roman" w:hAnsi="Arial" w:cs="Arial"/>
          <w:lang w:eastAsia="es-ES"/>
        </w:rPr>
      </w:pPr>
    </w:p>
    <w:p w14:paraId="6D0D5A75" w14:textId="77777777" w:rsidR="002C7583" w:rsidRPr="002C7583" w:rsidRDefault="002C7583" w:rsidP="002C7583">
      <w:pPr>
        <w:spacing w:after="0" w:line="240" w:lineRule="auto"/>
        <w:jc w:val="both"/>
        <w:rPr>
          <w:rFonts w:ascii="Arial" w:eastAsia="Times New Roman" w:hAnsi="Arial" w:cs="Arial"/>
          <w:lang w:eastAsia="es-ES"/>
        </w:rPr>
      </w:pPr>
      <w:r w:rsidRPr="002C7583">
        <w:rPr>
          <w:rFonts w:ascii="Arial" w:eastAsia="Times New Roman" w:hAnsi="Arial" w:cs="Arial"/>
          <w:lang w:eastAsia="es-ES"/>
        </w:rPr>
        <w:t>5. Será castigado con pena de prisión de seis meses a dos años quien en lugar concurrido provocará avalancha, estampida u otra reacción análoga en el público que pongan en situación de peligro la vida o la salud de las personas.</w:t>
      </w:r>
    </w:p>
    <w:p w14:paraId="34543E5F" w14:textId="77777777" w:rsidR="002C7583" w:rsidRPr="002C7583" w:rsidRDefault="002C7583" w:rsidP="002C7583">
      <w:pPr>
        <w:spacing w:after="0" w:line="240" w:lineRule="auto"/>
        <w:jc w:val="both"/>
        <w:rPr>
          <w:rFonts w:ascii="Arial" w:eastAsia="Times New Roman" w:hAnsi="Arial" w:cs="Arial"/>
          <w:lang w:eastAsia="es-ES"/>
        </w:rPr>
      </w:pPr>
    </w:p>
    <w:p w14:paraId="1EE9813B" w14:textId="77777777" w:rsidR="002C7583" w:rsidRPr="002C7583" w:rsidRDefault="002C7583" w:rsidP="002C7583">
      <w:pPr>
        <w:spacing w:after="0" w:line="240" w:lineRule="auto"/>
        <w:jc w:val="both"/>
        <w:rPr>
          <w:rFonts w:ascii="Arial" w:eastAsia="Times New Roman" w:hAnsi="Arial" w:cs="Arial"/>
          <w:lang w:eastAsia="es-ES"/>
        </w:rPr>
      </w:pPr>
      <w:r w:rsidRPr="002C7583">
        <w:rPr>
          <w:rFonts w:ascii="Arial" w:eastAsia="Times New Roman" w:hAnsi="Arial" w:cs="Arial"/>
          <w:lang w:eastAsia="es-ES"/>
        </w:rPr>
        <w:t>6. Las penas señaladas en este artículo se impondrán sin perjuicio de las que les puedan corresponder a los actos concretos de lesiones, amenazas, coacciones o daños que se hubieran llevado a cabo.”</w:t>
      </w:r>
    </w:p>
    <w:p w14:paraId="7F0F692E" w14:textId="77777777" w:rsidR="002C7583" w:rsidRPr="002C7583" w:rsidRDefault="002C7583" w:rsidP="002C7583">
      <w:pPr>
        <w:spacing w:after="0" w:line="240" w:lineRule="auto"/>
        <w:jc w:val="both"/>
        <w:rPr>
          <w:rFonts w:ascii="Arial" w:eastAsia="Times New Roman" w:hAnsi="Arial" w:cs="Arial"/>
          <w:lang w:eastAsia="es-ES"/>
        </w:rPr>
      </w:pPr>
    </w:p>
    <w:p w14:paraId="0D43051F" w14:textId="77777777" w:rsidR="002C7583" w:rsidRPr="002C7583" w:rsidRDefault="002C7583" w:rsidP="002C7583">
      <w:pPr>
        <w:spacing w:after="0" w:line="240" w:lineRule="auto"/>
        <w:jc w:val="both"/>
        <w:rPr>
          <w:rFonts w:ascii="Arial" w:eastAsia="Times New Roman" w:hAnsi="Arial" w:cs="Arial"/>
          <w:lang w:eastAsia="es-ES"/>
        </w:rPr>
      </w:pPr>
      <w:r w:rsidRPr="002C7583">
        <w:rPr>
          <w:rFonts w:ascii="Arial" w:eastAsia="Times New Roman" w:hAnsi="Arial" w:cs="Arial"/>
          <w:b/>
          <w:bCs/>
          <w:lang w:eastAsia="es-ES"/>
        </w:rPr>
        <w:t>Dieciséis</w:t>
      </w:r>
      <w:r w:rsidRPr="002C7583">
        <w:rPr>
          <w:rFonts w:ascii="Arial" w:eastAsia="Times New Roman" w:hAnsi="Arial" w:cs="Arial"/>
          <w:lang w:eastAsia="es-ES"/>
        </w:rPr>
        <w:t>. Se modifica el artículo 557 bis, que queda redactado como sigue:</w:t>
      </w:r>
    </w:p>
    <w:p w14:paraId="5F283008" w14:textId="77777777" w:rsidR="002C7583" w:rsidRPr="002C7583" w:rsidRDefault="002C7583" w:rsidP="002C7583">
      <w:pPr>
        <w:spacing w:after="0" w:line="240" w:lineRule="auto"/>
        <w:jc w:val="both"/>
        <w:rPr>
          <w:rFonts w:ascii="Arial" w:eastAsia="Times New Roman" w:hAnsi="Arial" w:cs="Arial"/>
          <w:lang w:eastAsia="es-ES"/>
        </w:rPr>
      </w:pPr>
    </w:p>
    <w:p w14:paraId="23C77E78" w14:textId="77777777" w:rsidR="002C7583" w:rsidRPr="002C7583" w:rsidRDefault="002C7583" w:rsidP="002C7583">
      <w:pPr>
        <w:spacing w:after="0" w:line="240" w:lineRule="auto"/>
        <w:jc w:val="both"/>
        <w:rPr>
          <w:rFonts w:ascii="Arial" w:eastAsia="Times New Roman" w:hAnsi="Arial" w:cs="Arial"/>
          <w:lang w:eastAsia="es-ES"/>
        </w:rPr>
      </w:pPr>
      <w:r w:rsidRPr="002C7583">
        <w:rPr>
          <w:rFonts w:ascii="Arial" w:eastAsia="Times New Roman" w:hAnsi="Arial" w:cs="Arial"/>
          <w:lang w:eastAsia="es-ES"/>
        </w:rPr>
        <w:t>“Los que, sin hacer uso de violencia o intimidación y sin estar comprendidos en el artículo anterior, actuando en grupo invadan u ocupen, contra la voluntad de su titular, el domicilio de una persona jurídica pública o privada, un despacho, oficina, establecimiento o local, aunque se encuentre abierto al público, y causen con ello una perturbación relevante de la paz pública y de su actividad normal, serán castigados con una pena de prisión de tres a seis meses o multa de seis a doce meses, salvo que los hechos ya estuvieran castigados con una pena más grave en otro precepto de este Código.”</w:t>
      </w:r>
    </w:p>
    <w:p w14:paraId="374B9A16" w14:textId="77777777" w:rsidR="002C7583" w:rsidRPr="002C7583" w:rsidRDefault="002C7583" w:rsidP="002C7583">
      <w:pPr>
        <w:spacing w:after="0" w:line="240" w:lineRule="auto"/>
        <w:jc w:val="both"/>
        <w:rPr>
          <w:rFonts w:ascii="Arial" w:eastAsia="Times New Roman" w:hAnsi="Arial" w:cs="Arial"/>
          <w:lang w:eastAsia="es-ES"/>
        </w:rPr>
      </w:pPr>
    </w:p>
    <w:p w14:paraId="6A630552" w14:textId="77777777" w:rsidR="002C7583" w:rsidRPr="002C7583" w:rsidRDefault="002C7583" w:rsidP="002C7583">
      <w:pPr>
        <w:spacing w:after="0" w:line="240" w:lineRule="auto"/>
        <w:jc w:val="both"/>
        <w:rPr>
          <w:rFonts w:ascii="Arial" w:eastAsia="Times New Roman" w:hAnsi="Arial" w:cs="Arial"/>
          <w:lang w:eastAsia="es-ES"/>
        </w:rPr>
      </w:pPr>
      <w:r w:rsidRPr="002C7583">
        <w:rPr>
          <w:rFonts w:ascii="Arial" w:eastAsia="Times New Roman" w:hAnsi="Arial" w:cs="Arial"/>
          <w:b/>
          <w:bCs/>
          <w:lang w:eastAsia="es-ES"/>
        </w:rPr>
        <w:t>Diecisiete</w:t>
      </w:r>
      <w:r w:rsidRPr="002C7583">
        <w:rPr>
          <w:rFonts w:ascii="Arial" w:eastAsia="Times New Roman" w:hAnsi="Arial" w:cs="Arial"/>
          <w:lang w:eastAsia="es-ES"/>
        </w:rPr>
        <w:t>. Se suprime el artículo 557 ter.</w:t>
      </w:r>
    </w:p>
    <w:p w14:paraId="73D017FE" w14:textId="77777777" w:rsidR="002C7583" w:rsidRPr="002C7583" w:rsidRDefault="002C7583" w:rsidP="002C7583">
      <w:pPr>
        <w:spacing w:after="0" w:line="240" w:lineRule="auto"/>
        <w:jc w:val="both"/>
        <w:rPr>
          <w:rFonts w:ascii="Arial" w:eastAsia="Times New Roman" w:hAnsi="Arial" w:cs="Arial"/>
          <w:lang w:eastAsia="es-ES"/>
        </w:rPr>
      </w:pPr>
    </w:p>
    <w:p w14:paraId="1135591F" w14:textId="77777777" w:rsidR="002C7583" w:rsidRPr="002C7583" w:rsidRDefault="002C7583" w:rsidP="002C7583">
      <w:pPr>
        <w:spacing w:after="0" w:line="240" w:lineRule="auto"/>
        <w:jc w:val="both"/>
        <w:rPr>
          <w:rFonts w:ascii="Arial" w:eastAsia="Times New Roman" w:hAnsi="Arial" w:cs="Arial"/>
          <w:lang w:eastAsia="es-ES"/>
        </w:rPr>
      </w:pPr>
      <w:r w:rsidRPr="002C7583">
        <w:rPr>
          <w:rFonts w:ascii="Arial" w:eastAsia="Times New Roman" w:hAnsi="Arial" w:cs="Arial"/>
          <w:b/>
          <w:bCs/>
          <w:lang w:eastAsia="es-ES"/>
        </w:rPr>
        <w:t>Dieciocho</w:t>
      </w:r>
      <w:r w:rsidRPr="002C7583">
        <w:rPr>
          <w:rFonts w:ascii="Arial" w:eastAsia="Times New Roman" w:hAnsi="Arial" w:cs="Arial"/>
          <w:lang w:eastAsia="es-ES"/>
        </w:rPr>
        <w:t>. Se suprime el artículo 559.</w:t>
      </w:r>
    </w:p>
    <w:p w14:paraId="46A8B8D4" w14:textId="77777777" w:rsidR="002C7583" w:rsidRPr="002C7583" w:rsidRDefault="002C7583" w:rsidP="002C7583">
      <w:pPr>
        <w:spacing w:after="0" w:line="240" w:lineRule="auto"/>
        <w:jc w:val="both"/>
        <w:rPr>
          <w:rFonts w:ascii="Arial" w:eastAsia="Times New Roman" w:hAnsi="Arial" w:cs="Arial"/>
          <w:lang w:eastAsia="es-ES"/>
        </w:rPr>
      </w:pPr>
    </w:p>
    <w:p w14:paraId="51C76A31" w14:textId="77777777" w:rsidR="002C7583" w:rsidRPr="002C7583" w:rsidRDefault="002C7583" w:rsidP="002C7583">
      <w:pPr>
        <w:spacing w:after="0" w:line="240" w:lineRule="auto"/>
        <w:jc w:val="both"/>
        <w:rPr>
          <w:rFonts w:ascii="Arial" w:eastAsia="Times New Roman" w:hAnsi="Arial" w:cs="Arial"/>
          <w:lang w:eastAsia="es-ES"/>
        </w:rPr>
      </w:pPr>
      <w:r w:rsidRPr="002C7583">
        <w:rPr>
          <w:rFonts w:ascii="Arial" w:eastAsia="Times New Roman" w:hAnsi="Arial" w:cs="Arial"/>
          <w:b/>
          <w:bCs/>
          <w:lang w:eastAsia="es-ES"/>
        </w:rPr>
        <w:t>Diecinueve</w:t>
      </w:r>
      <w:r w:rsidRPr="002C7583">
        <w:rPr>
          <w:rFonts w:ascii="Arial" w:eastAsia="Times New Roman" w:hAnsi="Arial" w:cs="Arial"/>
          <w:lang w:eastAsia="es-ES"/>
        </w:rPr>
        <w:t>. Se modifica el apartado 4 del artículo 573 bis, que queda redactado como sigue:</w:t>
      </w:r>
    </w:p>
    <w:p w14:paraId="6A41B716" w14:textId="77777777" w:rsidR="002C7583" w:rsidRPr="002C7583" w:rsidRDefault="002C7583" w:rsidP="002C7583">
      <w:pPr>
        <w:spacing w:after="0" w:line="240" w:lineRule="auto"/>
        <w:jc w:val="both"/>
        <w:rPr>
          <w:rFonts w:ascii="Arial" w:eastAsia="Times New Roman" w:hAnsi="Arial" w:cs="Arial"/>
          <w:lang w:eastAsia="es-ES"/>
        </w:rPr>
      </w:pPr>
    </w:p>
    <w:p w14:paraId="7619A64C" w14:textId="77777777" w:rsidR="002C7583" w:rsidRPr="002C7583" w:rsidRDefault="002C7583" w:rsidP="002C7583">
      <w:pPr>
        <w:spacing w:after="0" w:line="240" w:lineRule="auto"/>
        <w:jc w:val="both"/>
        <w:rPr>
          <w:rFonts w:ascii="Arial" w:eastAsia="Times New Roman" w:hAnsi="Arial" w:cs="Arial"/>
          <w:lang w:eastAsia="es-ES"/>
        </w:rPr>
      </w:pPr>
      <w:r w:rsidRPr="002C7583">
        <w:rPr>
          <w:rFonts w:ascii="Arial" w:eastAsia="Times New Roman" w:hAnsi="Arial" w:cs="Arial"/>
          <w:lang w:eastAsia="es-ES"/>
        </w:rPr>
        <w:t>4. El delito de desórdenes públicos previsto en los apartados dos y tres del artículo 557, así como el delito de rebelión, cuando se cometan por una organización o grupo terrorista o individualmente pero amparados en ellos, se castigarán con la pena superior en grado a las previstas para tales delitos.</w:t>
      </w:r>
    </w:p>
    <w:p w14:paraId="510DB39C" w14:textId="77777777" w:rsidR="002C7583" w:rsidRPr="002C7583" w:rsidRDefault="002C7583" w:rsidP="002C7583">
      <w:pPr>
        <w:spacing w:after="0" w:line="240" w:lineRule="auto"/>
        <w:jc w:val="both"/>
        <w:rPr>
          <w:rFonts w:ascii="Arial" w:eastAsia="Times New Roman" w:hAnsi="Arial" w:cs="Arial"/>
          <w:lang w:eastAsia="es-ES"/>
        </w:rPr>
      </w:pPr>
    </w:p>
    <w:p w14:paraId="15B04735" w14:textId="77777777" w:rsidR="002C7583" w:rsidRPr="002C7583" w:rsidRDefault="002C7583" w:rsidP="002C7583">
      <w:pPr>
        <w:spacing w:after="0" w:line="240" w:lineRule="auto"/>
        <w:jc w:val="both"/>
        <w:rPr>
          <w:rFonts w:ascii="Arial" w:eastAsia="Times New Roman" w:hAnsi="Arial" w:cs="Arial"/>
          <w:lang w:eastAsia="es-ES"/>
        </w:rPr>
      </w:pPr>
    </w:p>
    <w:p w14:paraId="26A8866F" w14:textId="77777777" w:rsidR="002C7583" w:rsidRPr="002C7583" w:rsidRDefault="002C7583" w:rsidP="002C7583">
      <w:pPr>
        <w:spacing w:after="0" w:line="240" w:lineRule="auto"/>
        <w:jc w:val="both"/>
        <w:rPr>
          <w:rFonts w:ascii="Arial" w:eastAsia="Times New Roman" w:hAnsi="Arial" w:cs="Arial"/>
          <w:lang w:eastAsia="es-ES"/>
        </w:rPr>
      </w:pPr>
    </w:p>
    <w:p w14:paraId="2A3A236C" w14:textId="77777777" w:rsidR="002C7583" w:rsidRPr="002C7583" w:rsidRDefault="002C7583" w:rsidP="002C7583">
      <w:pPr>
        <w:spacing w:after="0" w:line="240" w:lineRule="auto"/>
        <w:jc w:val="both"/>
        <w:rPr>
          <w:rFonts w:ascii="Arial" w:eastAsia="Times New Roman" w:hAnsi="Arial" w:cs="Arial"/>
          <w:lang w:eastAsia="es-ES"/>
        </w:rPr>
      </w:pPr>
    </w:p>
    <w:p w14:paraId="136DAA92" w14:textId="77777777" w:rsidR="002C7583" w:rsidRPr="002C7583" w:rsidRDefault="002C7583" w:rsidP="002C7583">
      <w:pPr>
        <w:spacing w:after="0" w:line="240" w:lineRule="auto"/>
        <w:jc w:val="both"/>
        <w:rPr>
          <w:rFonts w:ascii="Arial" w:eastAsia="Times New Roman" w:hAnsi="Arial" w:cs="Arial"/>
          <w:b/>
          <w:lang w:eastAsia="es-ES"/>
        </w:rPr>
      </w:pPr>
      <w:r w:rsidRPr="002C7583">
        <w:rPr>
          <w:rFonts w:ascii="Arial" w:eastAsia="Times New Roman" w:hAnsi="Arial" w:cs="Arial"/>
          <w:b/>
          <w:lang w:eastAsia="es-ES"/>
        </w:rPr>
        <w:t>Artículo segundo</w:t>
      </w:r>
      <w:r w:rsidRPr="002C7583">
        <w:rPr>
          <w:rFonts w:ascii="Arial" w:eastAsia="Times New Roman" w:hAnsi="Arial" w:cs="Arial"/>
          <w:lang w:eastAsia="es-ES"/>
        </w:rPr>
        <w:t xml:space="preserve">: </w:t>
      </w:r>
      <w:r w:rsidRPr="002C7583">
        <w:rPr>
          <w:rFonts w:ascii="Arial" w:eastAsia="Times New Roman" w:hAnsi="Arial" w:cs="Arial"/>
          <w:b/>
          <w:lang w:eastAsia="es-ES"/>
        </w:rPr>
        <w:t>Modificación de la Ley Orgánica 12/1995, de 12 de diciembre, de Represión del Contrabando.</w:t>
      </w:r>
    </w:p>
    <w:p w14:paraId="71356FB0" w14:textId="77777777" w:rsidR="002C7583" w:rsidRPr="002C7583" w:rsidRDefault="002C7583" w:rsidP="002C7583">
      <w:pPr>
        <w:spacing w:after="0" w:line="240" w:lineRule="auto"/>
        <w:jc w:val="both"/>
        <w:rPr>
          <w:rFonts w:ascii="Arial" w:eastAsia="Times New Roman" w:hAnsi="Arial" w:cs="Arial"/>
          <w:lang w:eastAsia="es-ES"/>
        </w:rPr>
      </w:pPr>
      <w:r w:rsidRPr="002C7583">
        <w:rPr>
          <w:rFonts w:ascii="Arial" w:eastAsia="Times New Roman" w:hAnsi="Arial" w:cs="Arial"/>
          <w:lang w:eastAsia="es-ES"/>
        </w:rPr>
        <w:t>Se añade un nuevo apartado 4 al artículo 3 de Ley Orgánica 12/1995, de 12 de diciembre, de Represión del Contrabando, con la siguiente redacción.</w:t>
      </w:r>
    </w:p>
    <w:p w14:paraId="2A0AAC2C" w14:textId="77777777" w:rsidR="002C7583" w:rsidRPr="002C7583" w:rsidRDefault="002C7583" w:rsidP="002C7583">
      <w:pPr>
        <w:autoSpaceDE w:val="0"/>
        <w:autoSpaceDN w:val="0"/>
        <w:adjustRightInd w:val="0"/>
        <w:spacing w:after="0" w:line="240" w:lineRule="auto"/>
        <w:jc w:val="both"/>
        <w:rPr>
          <w:rFonts w:ascii="Arial" w:eastAsia="Calibri" w:hAnsi="Arial" w:cs="Arial"/>
          <w:color w:val="000000"/>
        </w:rPr>
      </w:pPr>
    </w:p>
    <w:p w14:paraId="767BE9ED" w14:textId="77777777" w:rsidR="002C7583" w:rsidRPr="002C7583" w:rsidRDefault="002C7583" w:rsidP="002C7583">
      <w:pPr>
        <w:autoSpaceDE w:val="0"/>
        <w:autoSpaceDN w:val="0"/>
        <w:adjustRightInd w:val="0"/>
        <w:spacing w:after="0" w:line="240" w:lineRule="auto"/>
        <w:jc w:val="both"/>
        <w:rPr>
          <w:rFonts w:ascii="Arial" w:eastAsia="Calibri" w:hAnsi="Arial" w:cs="Arial"/>
        </w:rPr>
      </w:pPr>
      <w:r w:rsidRPr="002C7583">
        <w:rPr>
          <w:rFonts w:ascii="Arial" w:eastAsia="Calibri" w:hAnsi="Arial" w:cs="Arial"/>
          <w:color w:val="000000"/>
        </w:rPr>
        <w:lastRenderedPageBreak/>
        <w:t>“</w:t>
      </w:r>
      <w:r w:rsidRPr="002C7583">
        <w:rPr>
          <w:rFonts w:ascii="Arial" w:eastAsia="Calibri" w:hAnsi="Arial" w:cs="Arial"/>
        </w:rPr>
        <w:t>4. La conspiración y la proposición para cometer un delito de contrabando de material de defensa, o de material o productos y tecnologías de doble uso serán castigadas con la pena inferior en uno o dos grados a lo que corresponde a este delito.</w:t>
      </w:r>
      <w:r w:rsidRPr="002C7583">
        <w:rPr>
          <w:rFonts w:ascii="Arial" w:eastAsia="Calibri" w:hAnsi="Arial" w:cs="Arial"/>
          <w:color w:val="000000"/>
        </w:rPr>
        <w:t>”</w:t>
      </w:r>
      <w:r w:rsidRPr="002C7583">
        <w:rPr>
          <w:rFonts w:ascii="Arial" w:eastAsia="Calibri" w:hAnsi="Arial" w:cs="Arial"/>
        </w:rPr>
        <w:t xml:space="preserve"> </w:t>
      </w:r>
    </w:p>
    <w:p w14:paraId="0ACA100D" w14:textId="77777777" w:rsidR="002C7583" w:rsidRPr="002C7583" w:rsidRDefault="002C7583" w:rsidP="002C7583">
      <w:pPr>
        <w:autoSpaceDE w:val="0"/>
        <w:autoSpaceDN w:val="0"/>
        <w:adjustRightInd w:val="0"/>
        <w:spacing w:after="0" w:line="240" w:lineRule="auto"/>
        <w:jc w:val="both"/>
        <w:rPr>
          <w:rFonts w:ascii="Arial" w:eastAsia="Calibri" w:hAnsi="Arial" w:cs="Arial"/>
        </w:rPr>
      </w:pPr>
    </w:p>
    <w:p w14:paraId="04D68C62" w14:textId="77777777" w:rsidR="002C7583" w:rsidRPr="002C7583" w:rsidRDefault="002C7583" w:rsidP="002C7583">
      <w:pPr>
        <w:autoSpaceDE w:val="0"/>
        <w:autoSpaceDN w:val="0"/>
        <w:adjustRightInd w:val="0"/>
        <w:spacing w:after="0" w:line="240" w:lineRule="auto"/>
        <w:jc w:val="both"/>
        <w:rPr>
          <w:rFonts w:ascii="Arial" w:eastAsia="Calibri" w:hAnsi="Arial" w:cs="Arial"/>
        </w:rPr>
      </w:pPr>
    </w:p>
    <w:p w14:paraId="35D42DEB" w14:textId="77777777" w:rsidR="002C7583" w:rsidRPr="002C7583" w:rsidRDefault="002C7583" w:rsidP="002C7583">
      <w:pPr>
        <w:autoSpaceDE w:val="0"/>
        <w:autoSpaceDN w:val="0"/>
        <w:adjustRightInd w:val="0"/>
        <w:spacing w:after="0" w:line="240" w:lineRule="auto"/>
        <w:jc w:val="both"/>
        <w:rPr>
          <w:rFonts w:ascii="Arial" w:eastAsia="Calibri" w:hAnsi="Arial" w:cs="Arial"/>
        </w:rPr>
      </w:pPr>
      <w:r w:rsidRPr="002C7583">
        <w:rPr>
          <w:rFonts w:ascii="Arial" w:eastAsia="Calibri" w:hAnsi="Arial" w:cs="Arial"/>
          <w:b/>
          <w:bCs/>
        </w:rPr>
        <w:t>Disposición transitoria primera.</w:t>
      </w:r>
      <w:r w:rsidRPr="002C7583">
        <w:rPr>
          <w:rFonts w:ascii="Arial" w:eastAsia="Calibri" w:hAnsi="Arial" w:cs="Arial"/>
        </w:rPr>
        <w:t xml:space="preserve"> Legislación aplicable.</w:t>
      </w:r>
    </w:p>
    <w:p w14:paraId="27F2718E" w14:textId="77777777" w:rsidR="002C7583" w:rsidRPr="002C7583" w:rsidRDefault="002C7583" w:rsidP="002C7583">
      <w:pPr>
        <w:autoSpaceDE w:val="0"/>
        <w:autoSpaceDN w:val="0"/>
        <w:adjustRightInd w:val="0"/>
        <w:spacing w:after="0" w:line="240" w:lineRule="auto"/>
        <w:jc w:val="both"/>
        <w:rPr>
          <w:rFonts w:ascii="Arial" w:eastAsia="Calibri" w:hAnsi="Arial" w:cs="Arial"/>
        </w:rPr>
      </w:pPr>
    </w:p>
    <w:p w14:paraId="1AFB1E9E" w14:textId="77777777" w:rsidR="002C7583" w:rsidRPr="002C7583" w:rsidRDefault="002C7583" w:rsidP="002C7583">
      <w:pPr>
        <w:autoSpaceDE w:val="0"/>
        <w:autoSpaceDN w:val="0"/>
        <w:adjustRightInd w:val="0"/>
        <w:spacing w:after="0" w:line="240" w:lineRule="auto"/>
        <w:jc w:val="both"/>
        <w:rPr>
          <w:rFonts w:ascii="Arial" w:eastAsia="Calibri" w:hAnsi="Arial" w:cs="Arial"/>
        </w:rPr>
      </w:pPr>
      <w:r w:rsidRPr="002C7583">
        <w:rPr>
          <w:rFonts w:ascii="Arial" w:eastAsia="Calibri" w:hAnsi="Arial" w:cs="Arial"/>
        </w:rPr>
        <w:t>1. Los delitos cometidos hasta el día de la entrada en vigor de esta Ley se juzgarán conforme a la legislación penal vigente en el momento de su comisión. No obstante lo anterior, se aplicará esta Ley, una vez que entre en vigor, si las disposiciones de la misma son más favorables para el reo, aunque los hechos hubieran sido cometidos con anterioridad a su entrada en vigor.</w:t>
      </w:r>
    </w:p>
    <w:p w14:paraId="2ED2588F" w14:textId="77777777" w:rsidR="002C7583" w:rsidRPr="002C7583" w:rsidRDefault="002C7583" w:rsidP="002C7583">
      <w:pPr>
        <w:autoSpaceDE w:val="0"/>
        <w:autoSpaceDN w:val="0"/>
        <w:adjustRightInd w:val="0"/>
        <w:spacing w:after="0" w:line="240" w:lineRule="auto"/>
        <w:jc w:val="both"/>
        <w:rPr>
          <w:rFonts w:ascii="Arial" w:eastAsia="Calibri" w:hAnsi="Arial" w:cs="Arial"/>
        </w:rPr>
      </w:pPr>
    </w:p>
    <w:p w14:paraId="569C3286" w14:textId="77777777" w:rsidR="002C7583" w:rsidRPr="002C7583" w:rsidRDefault="002C7583" w:rsidP="002C7583">
      <w:pPr>
        <w:autoSpaceDE w:val="0"/>
        <w:autoSpaceDN w:val="0"/>
        <w:adjustRightInd w:val="0"/>
        <w:spacing w:after="0" w:line="240" w:lineRule="auto"/>
        <w:jc w:val="both"/>
        <w:rPr>
          <w:rFonts w:ascii="Arial" w:eastAsia="Calibri" w:hAnsi="Arial" w:cs="Arial"/>
        </w:rPr>
      </w:pPr>
      <w:r w:rsidRPr="002C7583">
        <w:rPr>
          <w:rFonts w:ascii="Arial" w:eastAsia="Calibri" w:hAnsi="Arial" w:cs="Arial"/>
        </w:rPr>
        <w:t>2. Para la determinación de cuál sea la ley más favorable se tendrá en cuenta la pena que correspondería al hecho enjuiciado con la aplicación de las normas completas del Código en su redacción anterior y con las del Código resultante de la reforma operada por la presente Ley y, en su caso, la posibilidad de imponer medidas de seguridad.</w:t>
      </w:r>
    </w:p>
    <w:p w14:paraId="414B30F2" w14:textId="77777777" w:rsidR="002C7583" w:rsidRPr="002C7583" w:rsidRDefault="002C7583" w:rsidP="002C7583">
      <w:pPr>
        <w:autoSpaceDE w:val="0"/>
        <w:autoSpaceDN w:val="0"/>
        <w:adjustRightInd w:val="0"/>
        <w:spacing w:after="0" w:line="240" w:lineRule="auto"/>
        <w:jc w:val="both"/>
        <w:rPr>
          <w:rFonts w:ascii="Arial" w:eastAsia="Calibri" w:hAnsi="Arial" w:cs="Arial"/>
        </w:rPr>
      </w:pPr>
    </w:p>
    <w:p w14:paraId="7CA18DD3" w14:textId="77777777" w:rsidR="002C7583" w:rsidRPr="002C7583" w:rsidRDefault="002C7583" w:rsidP="002C7583">
      <w:pPr>
        <w:autoSpaceDE w:val="0"/>
        <w:autoSpaceDN w:val="0"/>
        <w:adjustRightInd w:val="0"/>
        <w:spacing w:after="0" w:line="240" w:lineRule="auto"/>
        <w:jc w:val="both"/>
        <w:rPr>
          <w:rFonts w:ascii="Arial" w:eastAsia="Calibri" w:hAnsi="Arial" w:cs="Arial"/>
        </w:rPr>
      </w:pPr>
      <w:r w:rsidRPr="002C7583">
        <w:rPr>
          <w:rFonts w:ascii="Arial" w:eastAsia="Calibri" w:hAnsi="Arial" w:cs="Arial"/>
        </w:rPr>
        <w:t xml:space="preserve">3. En todo caso, será oído el reo. </w:t>
      </w:r>
    </w:p>
    <w:p w14:paraId="5CCAD6A8" w14:textId="77777777" w:rsidR="002C7583" w:rsidRPr="002C7583" w:rsidRDefault="002C7583" w:rsidP="002C7583">
      <w:pPr>
        <w:autoSpaceDE w:val="0"/>
        <w:autoSpaceDN w:val="0"/>
        <w:adjustRightInd w:val="0"/>
        <w:spacing w:after="0" w:line="240" w:lineRule="auto"/>
        <w:jc w:val="both"/>
        <w:rPr>
          <w:rFonts w:ascii="Arial" w:eastAsia="Calibri" w:hAnsi="Arial" w:cs="Arial"/>
        </w:rPr>
      </w:pPr>
    </w:p>
    <w:p w14:paraId="6C99C05F" w14:textId="77777777" w:rsidR="002C7583" w:rsidRPr="002C7583" w:rsidRDefault="002C7583" w:rsidP="002C7583">
      <w:pPr>
        <w:autoSpaceDE w:val="0"/>
        <w:autoSpaceDN w:val="0"/>
        <w:adjustRightInd w:val="0"/>
        <w:spacing w:after="0" w:line="240" w:lineRule="auto"/>
        <w:jc w:val="both"/>
        <w:rPr>
          <w:rFonts w:ascii="Arial" w:eastAsia="Calibri" w:hAnsi="Arial" w:cs="Arial"/>
        </w:rPr>
      </w:pPr>
      <w:r w:rsidRPr="002C7583">
        <w:rPr>
          <w:rFonts w:ascii="Arial" w:eastAsia="Calibri" w:hAnsi="Arial" w:cs="Arial"/>
          <w:b/>
          <w:bCs/>
        </w:rPr>
        <w:t>Disposición transitoria segunda.</w:t>
      </w:r>
      <w:r w:rsidRPr="002C7583">
        <w:rPr>
          <w:rFonts w:ascii="Arial" w:eastAsia="Calibri" w:hAnsi="Arial" w:cs="Arial"/>
        </w:rPr>
        <w:t xml:space="preserve"> Revisión de sentencias.</w:t>
      </w:r>
    </w:p>
    <w:p w14:paraId="6175F871" w14:textId="77777777" w:rsidR="002C7583" w:rsidRPr="002C7583" w:rsidRDefault="002C7583" w:rsidP="002C7583">
      <w:pPr>
        <w:autoSpaceDE w:val="0"/>
        <w:autoSpaceDN w:val="0"/>
        <w:adjustRightInd w:val="0"/>
        <w:spacing w:after="0" w:line="240" w:lineRule="auto"/>
        <w:jc w:val="both"/>
        <w:rPr>
          <w:rFonts w:ascii="Arial" w:eastAsia="Calibri" w:hAnsi="Arial" w:cs="Arial"/>
        </w:rPr>
      </w:pPr>
    </w:p>
    <w:p w14:paraId="05C8F1AD" w14:textId="77777777" w:rsidR="002C7583" w:rsidRPr="002C7583" w:rsidRDefault="002C7583" w:rsidP="002C7583">
      <w:pPr>
        <w:autoSpaceDE w:val="0"/>
        <w:autoSpaceDN w:val="0"/>
        <w:adjustRightInd w:val="0"/>
        <w:spacing w:after="0" w:line="240" w:lineRule="auto"/>
        <w:jc w:val="both"/>
        <w:rPr>
          <w:rFonts w:ascii="Arial" w:eastAsia="Calibri" w:hAnsi="Arial" w:cs="Arial"/>
        </w:rPr>
      </w:pPr>
      <w:r w:rsidRPr="002C7583">
        <w:rPr>
          <w:rFonts w:ascii="Arial" w:eastAsia="Calibri" w:hAnsi="Arial" w:cs="Arial"/>
        </w:rPr>
        <w:t>1. El Consejo General del Poder Judicial, en el ámbito de las competencias que le atribuye el artículo 98 de la Ley Orgánica 6/1985, de 1 de julio, del Poder Judicial, podrá asignar la revisión de las sentencias firmes dictadas antes de la vigencia de esta Ley a uno o varios de los Juzgados de lo Penal o secciones de las Audiencias Provinciales dedicados en régimen de exclusividad a la ejecución de sentencias penales.</w:t>
      </w:r>
    </w:p>
    <w:p w14:paraId="08EC3F89" w14:textId="77777777" w:rsidR="002C7583" w:rsidRPr="002C7583" w:rsidRDefault="002C7583" w:rsidP="002C7583">
      <w:pPr>
        <w:autoSpaceDE w:val="0"/>
        <w:autoSpaceDN w:val="0"/>
        <w:adjustRightInd w:val="0"/>
        <w:spacing w:after="0" w:line="240" w:lineRule="auto"/>
        <w:jc w:val="both"/>
        <w:rPr>
          <w:rFonts w:ascii="Arial" w:eastAsia="Calibri" w:hAnsi="Arial" w:cs="Arial"/>
        </w:rPr>
      </w:pPr>
    </w:p>
    <w:p w14:paraId="6A4E1B65" w14:textId="77777777" w:rsidR="002C7583" w:rsidRPr="002C7583" w:rsidRDefault="002C7583" w:rsidP="002C7583">
      <w:pPr>
        <w:autoSpaceDE w:val="0"/>
        <w:autoSpaceDN w:val="0"/>
        <w:adjustRightInd w:val="0"/>
        <w:spacing w:after="0" w:line="240" w:lineRule="auto"/>
        <w:jc w:val="both"/>
        <w:rPr>
          <w:rFonts w:ascii="Arial" w:eastAsia="Calibri" w:hAnsi="Arial" w:cs="Arial"/>
        </w:rPr>
      </w:pPr>
      <w:r w:rsidRPr="002C7583">
        <w:rPr>
          <w:rFonts w:ascii="Arial" w:eastAsia="Calibri" w:hAnsi="Arial" w:cs="Arial"/>
        </w:rPr>
        <w:t>Dichos jueces o tribunales procederán a revisar las sentencias firmes y en las que el penado esté cumpliendo efectivamente la pena, aplicando la disposición más favorable considerada taxativamente y no por el ejercicio del arbitrio judicial. En las penas privativas de libertad no se considerará más favorable esta Ley cuando la duración de la pena anterior impuesta al hecho con sus circunstancias sea también imponible con arreglo a esta reforma del Código. Se exceptúa el supuesto en que esta Ley contenga para el mismo hecho la previsión alternativa de una pena no privativa de libertad; en tal caso, deberá revisarse la sentencia.</w:t>
      </w:r>
    </w:p>
    <w:p w14:paraId="517DED79" w14:textId="77777777" w:rsidR="002C7583" w:rsidRPr="002C7583" w:rsidRDefault="002C7583" w:rsidP="002C7583">
      <w:pPr>
        <w:autoSpaceDE w:val="0"/>
        <w:autoSpaceDN w:val="0"/>
        <w:adjustRightInd w:val="0"/>
        <w:spacing w:after="0" w:line="240" w:lineRule="auto"/>
        <w:jc w:val="both"/>
        <w:rPr>
          <w:rFonts w:ascii="Arial" w:eastAsia="Calibri" w:hAnsi="Arial" w:cs="Arial"/>
        </w:rPr>
      </w:pPr>
    </w:p>
    <w:p w14:paraId="670C177E" w14:textId="77777777" w:rsidR="002C7583" w:rsidRPr="002C7583" w:rsidRDefault="002C7583" w:rsidP="002C7583">
      <w:pPr>
        <w:autoSpaceDE w:val="0"/>
        <w:autoSpaceDN w:val="0"/>
        <w:adjustRightInd w:val="0"/>
        <w:spacing w:after="0" w:line="240" w:lineRule="auto"/>
        <w:jc w:val="both"/>
        <w:rPr>
          <w:rFonts w:ascii="Arial" w:eastAsia="Calibri" w:hAnsi="Arial" w:cs="Arial"/>
        </w:rPr>
      </w:pPr>
      <w:r w:rsidRPr="002C7583">
        <w:rPr>
          <w:rFonts w:ascii="Arial" w:eastAsia="Calibri" w:hAnsi="Arial" w:cs="Arial"/>
        </w:rPr>
        <w:t xml:space="preserve">2. No se revisarán las sentencias en que el cumplimiento de la pena esté suspendido, sin perjuicio de hacerlo en caso de que se revoque la suspensión y antes de proceder al cumplimiento efectivo de la pena suspendida. </w:t>
      </w:r>
    </w:p>
    <w:p w14:paraId="55EE2320" w14:textId="77777777" w:rsidR="002C7583" w:rsidRPr="002C7583" w:rsidRDefault="002C7583" w:rsidP="002C7583">
      <w:pPr>
        <w:autoSpaceDE w:val="0"/>
        <w:autoSpaceDN w:val="0"/>
        <w:adjustRightInd w:val="0"/>
        <w:spacing w:after="0" w:line="240" w:lineRule="auto"/>
        <w:jc w:val="both"/>
        <w:rPr>
          <w:rFonts w:ascii="Arial" w:eastAsia="Calibri" w:hAnsi="Arial" w:cs="Arial"/>
        </w:rPr>
      </w:pPr>
    </w:p>
    <w:p w14:paraId="2BC6611C" w14:textId="77777777" w:rsidR="002C7583" w:rsidRPr="002C7583" w:rsidRDefault="002C7583" w:rsidP="002C7583">
      <w:pPr>
        <w:autoSpaceDE w:val="0"/>
        <w:autoSpaceDN w:val="0"/>
        <w:adjustRightInd w:val="0"/>
        <w:spacing w:after="0" w:line="240" w:lineRule="auto"/>
        <w:jc w:val="both"/>
        <w:rPr>
          <w:rFonts w:ascii="Arial" w:eastAsia="Calibri" w:hAnsi="Arial" w:cs="Arial"/>
        </w:rPr>
      </w:pPr>
      <w:r w:rsidRPr="002C7583">
        <w:rPr>
          <w:rFonts w:ascii="Arial" w:eastAsia="Calibri" w:hAnsi="Arial" w:cs="Arial"/>
        </w:rPr>
        <w:t>Igual regla se aplicará si el penado se encuentra en período de libertad condicional.</w:t>
      </w:r>
    </w:p>
    <w:p w14:paraId="74884AE2" w14:textId="77777777" w:rsidR="002C7583" w:rsidRPr="002C7583" w:rsidRDefault="002C7583" w:rsidP="002C7583">
      <w:pPr>
        <w:autoSpaceDE w:val="0"/>
        <w:autoSpaceDN w:val="0"/>
        <w:adjustRightInd w:val="0"/>
        <w:spacing w:after="0" w:line="240" w:lineRule="auto"/>
        <w:jc w:val="both"/>
        <w:rPr>
          <w:rFonts w:ascii="Arial" w:eastAsia="Calibri" w:hAnsi="Arial" w:cs="Arial"/>
        </w:rPr>
      </w:pPr>
    </w:p>
    <w:p w14:paraId="2BADA688" w14:textId="77777777" w:rsidR="002C7583" w:rsidRPr="002C7583" w:rsidRDefault="002C7583" w:rsidP="002C7583">
      <w:pPr>
        <w:autoSpaceDE w:val="0"/>
        <w:autoSpaceDN w:val="0"/>
        <w:adjustRightInd w:val="0"/>
        <w:spacing w:after="0" w:line="240" w:lineRule="auto"/>
        <w:jc w:val="both"/>
        <w:rPr>
          <w:rFonts w:ascii="Arial" w:eastAsia="Calibri" w:hAnsi="Arial" w:cs="Arial"/>
        </w:rPr>
      </w:pPr>
      <w:r w:rsidRPr="002C7583">
        <w:rPr>
          <w:rFonts w:ascii="Arial" w:eastAsia="Calibri" w:hAnsi="Arial" w:cs="Arial"/>
        </w:rPr>
        <w:t>Tampoco se revisarán las sentencias en que, con arreglo a la redacción anterior de los artículos del Código y a la presente reforma, corresponda exclusivamente pena de multa.</w:t>
      </w:r>
    </w:p>
    <w:p w14:paraId="3FDA6E92" w14:textId="77777777" w:rsidR="002C7583" w:rsidRPr="002C7583" w:rsidRDefault="002C7583" w:rsidP="002C7583">
      <w:pPr>
        <w:autoSpaceDE w:val="0"/>
        <w:autoSpaceDN w:val="0"/>
        <w:adjustRightInd w:val="0"/>
        <w:spacing w:after="0" w:line="240" w:lineRule="auto"/>
        <w:jc w:val="both"/>
        <w:rPr>
          <w:rFonts w:ascii="Arial" w:eastAsia="Calibri" w:hAnsi="Arial" w:cs="Arial"/>
        </w:rPr>
      </w:pPr>
    </w:p>
    <w:p w14:paraId="39D0B599" w14:textId="77777777" w:rsidR="002C7583" w:rsidRPr="002C7583" w:rsidRDefault="002C7583" w:rsidP="002C7583">
      <w:pPr>
        <w:autoSpaceDE w:val="0"/>
        <w:autoSpaceDN w:val="0"/>
        <w:adjustRightInd w:val="0"/>
        <w:spacing w:after="0" w:line="240" w:lineRule="auto"/>
        <w:jc w:val="both"/>
        <w:rPr>
          <w:rFonts w:ascii="Arial" w:eastAsia="Calibri" w:hAnsi="Arial" w:cs="Arial"/>
        </w:rPr>
      </w:pPr>
      <w:r w:rsidRPr="002C7583">
        <w:rPr>
          <w:rFonts w:ascii="Arial" w:eastAsia="Calibri" w:hAnsi="Arial" w:cs="Arial"/>
        </w:rPr>
        <w:lastRenderedPageBreak/>
        <w:t>3. No serán revisadas las sentencias en que la pena esté ejecutada o suspendida, aunque se encuentren pendientes de ejecutar otros pronunciamientos del fallo, así como las ya totalmente ejecutadas, sin perjuicio de que el juez o tribunal que en el futuro pudiera tenerlas en cuenta a efectos de reincidencia deba examinar previamente si el hecho en ellas penado ha dejado de ser delito o pudiera corresponderle una pena menor de la impuesta en su día, conforme a esta Ley.</w:t>
      </w:r>
    </w:p>
    <w:p w14:paraId="16D39144" w14:textId="77777777" w:rsidR="002C7583" w:rsidRPr="002C7583" w:rsidRDefault="002C7583" w:rsidP="002C7583">
      <w:pPr>
        <w:autoSpaceDE w:val="0"/>
        <w:autoSpaceDN w:val="0"/>
        <w:adjustRightInd w:val="0"/>
        <w:spacing w:after="0" w:line="240" w:lineRule="auto"/>
        <w:jc w:val="both"/>
        <w:rPr>
          <w:rFonts w:ascii="Arial" w:eastAsia="Calibri" w:hAnsi="Arial" w:cs="Arial"/>
        </w:rPr>
      </w:pPr>
    </w:p>
    <w:p w14:paraId="4D7899A5" w14:textId="77777777" w:rsidR="002C7583" w:rsidRPr="002C7583" w:rsidRDefault="002C7583" w:rsidP="002C7583">
      <w:pPr>
        <w:autoSpaceDE w:val="0"/>
        <w:autoSpaceDN w:val="0"/>
        <w:adjustRightInd w:val="0"/>
        <w:spacing w:after="0" w:line="240" w:lineRule="auto"/>
        <w:jc w:val="both"/>
        <w:rPr>
          <w:rFonts w:ascii="Arial" w:eastAsia="Calibri" w:hAnsi="Arial" w:cs="Arial"/>
        </w:rPr>
      </w:pPr>
      <w:r w:rsidRPr="002C7583">
        <w:rPr>
          <w:rFonts w:ascii="Arial" w:eastAsia="Calibri" w:hAnsi="Arial" w:cs="Arial"/>
        </w:rPr>
        <w:t>4. En los supuestos de indulto parcial, no se revisarán las sentencias cuando la pena resultante que se halle cumpliendo el condenado se encuentre comprendida en un marco imponible inferior respecto a esta Ley.</w:t>
      </w:r>
    </w:p>
    <w:p w14:paraId="26AB34C5" w14:textId="77777777" w:rsidR="002C7583" w:rsidRPr="002C7583" w:rsidRDefault="002C7583" w:rsidP="002C7583">
      <w:pPr>
        <w:autoSpaceDE w:val="0"/>
        <w:autoSpaceDN w:val="0"/>
        <w:adjustRightInd w:val="0"/>
        <w:spacing w:after="0" w:line="240" w:lineRule="auto"/>
        <w:jc w:val="both"/>
        <w:rPr>
          <w:rFonts w:ascii="Arial" w:eastAsia="Calibri" w:hAnsi="Arial" w:cs="Arial"/>
        </w:rPr>
      </w:pPr>
    </w:p>
    <w:p w14:paraId="11143DA4" w14:textId="77777777" w:rsidR="002C7583" w:rsidRPr="002C7583" w:rsidRDefault="002C7583" w:rsidP="002C7583">
      <w:pPr>
        <w:autoSpaceDE w:val="0"/>
        <w:autoSpaceDN w:val="0"/>
        <w:adjustRightInd w:val="0"/>
        <w:spacing w:after="0" w:line="240" w:lineRule="auto"/>
        <w:jc w:val="both"/>
        <w:rPr>
          <w:rFonts w:ascii="Arial" w:eastAsia="Calibri" w:hAnsi="Arial" w:cs="Arial"/>
        </w:rPr>
      </w:pPr>
      <w:r w:rsidRPr="002C7583">
        <w:rPr>
          <w:rFonts w:ascii="Arial" w:eastAsia="Calibri" w:hAnsi="Arial" w:cs="Arial"/>
          <w:b/>
          <w:bCs/>
        </w:rPr>
        <w:t>Disposición transitoria tercera.</w:t>
      </w:r>
      <w:r w:rsidRPr="002C7583">
        <w:rPr>
          <w:rFonts w:ascii="Arial" w:eastAsia="Calibri" w:hAnsi="Arial" w:cs="Arial"/>
        </w:rPr>
        <w:t xml:space="preserve"> Reglas de invocación de la normativa aplicable en materia de recursos.</w:t>
      </w:r>
    </w:p>
    <w:p w14:paraId="508D6869" w14:textId="77777777" w:rsidR="002C7583" w:rsidRPr="002C7583" w:rsidRDefault="002C7583" w:rsidP="002C7583">
      <w:pPr>
        <w:autoSpaceDE w:val="0"/>
        <w:autoSpaceDN w:val="0"/>
        <w:adjustRightInd w:val="0"/>
        <w:spacing w:after="0" w:line="240" w:lineRule="auto"/>
        <w:jc w:val="both"/>
        <w:rPr>
          <w:rFonts w:ascii="Arial" w:eastAsia="Calibri" w:hAnsi="Arial" w:cs="Arial"/>
        </w:rPr>
      </w:pPr>
    </w:p>
    <w:p w14:paraId="5BEB67F3" w14:textId="77777777" w:rsidR="002C7583" w:rsidRPr="002C7583" w:rsidRDefault="002C7583" w:rsidP="002C7583">
      <w:pPr>
        <w:autoSpaceDE w:val="0"/>
        <w:autoSpaceDN w:val="0"/>
        <w:adjustRightInd w:val="0"/>
        <w:spacing w:after="0" w:line="240" w:lineRule="auto"/>
        <w:jc w:val="both"/>
        <w:rPr>
          <w:rFonts w:ascii="Arial" w:eastAsia="Calibri" w:hAnsi="Arial" w:cs="Arial"/>
        </w:rPr>
      </w:pPr>
      <w:r w:rsidRPr="002C7583">
        <w:rPr>
          <w:rFonts w:ascii="Arial" w:eastAsia="Calibri" w:hAnsi="Arial" w:cs="Arial"/>
        </w:rPr>
        <w:t xml:space="preserve">En las sentencias dictadas conforme a la legislación que se deroga y que no sean firmes por estar pendientes de recurso, se observarán, una vez transcurrido el período de </w:t>
      </w:r>
      <w:proofErr w:type="spellStart"/>
      <w:r w:rsidRPr="002C7583">
        <w:rPr>
          <w:rFonts w:ascii="Arial" w:eastAsia="Calibri" w:hAnsi="Arial" w:cs="Arial"/>
        </w:rPr>
        <w:t>vacatio</w:t>
      </w:r>
      <w:proofErr w:type="spellEnd"/>
      <w:r w:rsidRPr="002C7583">
        <w:rPr>
          <w:rFonts w:ascii="Arial" w:eastAsia="Calibri" w:hAnsi="Arial" w:cs="Arial"/>
        </w:rPr>
        <w:t>, las siguientes reglas:</w:t>
      </w:r>
    </w:p>
    <w:p w14:paraId="70FFAD04" w14:textId="77777777" w:rsidR="002C7583" w:rsidRPr="002C7583" w:rsidRDefault="002C7583" w:rsidP="002C7583">
      <w:pPr>
        <w:autoSpaceDE w:val="0"/>
        <w:autoSpaceDN w:val="0"/>
        <w:adjustRightInd w:val="0"/>
        <w:spacing w:after="0" w:line="240" w:lineRule="auto"/>
        <w:jc w:val="both"/>
        <w:rPr>
          <w:rFonts w:ascii="Arial" w:eastAsia="Calibri" w:hAnsi="Arial" w:cs="Arial"/>
        </w:rPr>
      </w:pPr>
    </w:p>
    <w:p w14:paraId="1B9D6732" w14:textId="77777777" w:rsidR="002C7583" w:rsidRPr="002C7583" w:rsidRDefault="002C7583" w:rsidP="002C7583">
      <w:pPr>
        <w:autoSpaceDE w:val="0"/>
        <w:autoSpaceDN w:val="0"/>
        <w:adjustRightInd w:val="0"/>
        <w:spacing w:after="0" w:line="240" w:lineRule="auto"/>
        <w:jc w:val="both"/>
        <w:rPr>
          <w:rFonts w:ascii="Arial" w:eastAsia="Calibri" w:hAnsi="Arial" w:cs="Arial"/>
        </w:rPr>
      </w:pPr>
      <w:r w:rsidRPr="002C7583">
        <w:rPr>
          <w:rFonts w:ascii="Arial" w:eastAsia="Calibri" w:hAnsi="Arial" w:cs="Arial"/>
        </w:rPr>
        <w:t>a) Si se trata de un recurso de apelación, las partes podrán invocar y el juez o tribunal aplicará de oficio los preceptos de la nueva Ley, cuando resulten más favorables al reo.</w:t>
      </w:r>
    </w:p>
    <w:p w14:paraId="008C9CA5" w14:textId="77777777" w:rsidR="002C7583" w:rsidRPr="002C7583" w:rsidRDefault="002C7583" w:rsidP="002C7583">
      <w:pPr>
        <w:autoSpaceDE w:val="0"/>
        <w:autoSpaceDN w:val="0"/>
        <w:adjustRightInd w:val="0"/>
        <w:spacing w:after="0" w:line="240" w:lineRule="auto"/>
        <w:jc w:val="both"/>
        <w:rPr>
          <w:rFonts w:ascii="Arial" w:eastAsia="Calibri" w:hAnsi="Arial" w:cs="Arial"/>
        </w:rPr>
      </w:pPr>
    </w:p>
    <w:p w14:paraId="2D621140" w14:textId="77777777" w:rsidR="002C7583" w:rsidRPr="002C7583" w:rsidRDefault="002C7583" w:rsidP="002C7583">
      <w:pPr>
        <w:autoSpaceDE w:val="0"/>
        <w:autoSpaceDN w:val="0"/>
        <w:adjustRightInd w:val="0"/>
        <w:spacing w:after="0" w:line="240" w:lineRule="auto"/>
        <w:jc w:val="both"/>
        <w:rPr>
          <w:rFonts w:ascii="Arial" w:eastAsia="Calibri" w:hAnsi="Arial" w:cs="Arial"/>
        </w:rPr>
      </w:pPr>
      <w:r w:rsidRPr="002C7583">
        <w:rPr>
          <w:rFonts w:ascii="Arial" w:eastAsia="Calibri" w:hAnsi="Arial" w:cs="Arial"/>
        </w:rPr>
        <w:t>b) Si se trata de un recurso de casación, aún no formalizado, el recurrente podrá señalar las infracciones legales basándose en los preceptos de la nueva Ley.</w:t>
      </w:r>
    </w:p>
    <w:p w14:paraId="263C9DA4" w14:textId="77777777" w:rsidR="002C7583" w:rsidRPr="002C7583" w:rsidRDefault="002C7583" w:rsidP="002C7583">
      <w:pPr>
        <w:autoSpaceDE w:val="0"/>
        <w:autoSpaceDN w:val="0"/>
        <w:adjustRightInd w:val="0"/>
        <w:spacing w:after="0" w:line="240" w:lineRule="auto"/>
        <w:jc w:val="both"/>
        <w:rPr>
          <w:rFonts w:ascii="Arial" w:eastAsia="Calibri" w:hAnsi="Arial" w:cs="Arial"/>
        </w:rPr>
      </w:pPr>
    </w:p>
    <w:p w14:paraId="7E78764D" w14:textId="77777777" w:rsidR="002C7583" w:rsidRPr="002C7583" w:rsidRDefault="002C7583" w:rsidP="002C7583">
      <w:pPr>
        <w:autoSpaceDE w:val="0"/>
        <w:autoSpaceDN w:val="0"/>
        <w:adjustRightInd w:val="0"/>
        <w:spacing w:after="0" w:line="240" w:lineRule="auto"/>
        <w:jc w:val="both"/>
        <w:rPr>
          <w:rFonts w:ascii="Arial" w:eastAsia="Calibri" w:hAnsi="Arial" w:cs="Arial"/>
        </w:rPr>
      </w:pPr>
      <w:r w:rsidRPr="002C7583">
        <w:rPr>
          <w:rFonts w:ascii="Arial" w:eastAsia="Calibri" w:hAnsi="Arial" w:cs="Arial"/>
        </w:rPr>
        <w:t>c) Si, interpuesto recurso de casación, estuviera sustanciándose, se pasará de nuevo al recurrente, de oficio o a instancia de parte, por el término de ocho días, para que adapte, si lo estima procedente, los motivos de casación alegados a los preceptos de la nueva Ley, y del recurso así modificado se instruirán las partes interesadas, el fiscal y el magistrado ponente, continuando la tramitación conforme a derecho.</w:t>
      </w:r>
    </w:p>
    <w:p w14:paraId="6E5F68BC" w14:textId="77777777" w:rsidR="002C7583" w:rsidRPr="002C7583" w:rsidRDefault="002C7583" w:rsidP="002C7583">
      <w:pPr>
        <w:spacing w:after="0" w:line="240" w:lineRule="auto"/>
        <w:jc w:val="both"/>
        <w:rPr>
          <w:rFonts w:ascii="Arial" w:eastAsia="Times New Roman" w:hAnsi="Arial" w:cs="Arial"/>
          <w:b/>
          <w:lang w:eastAsia="es-ES"/>
        </w:rPr>
      </w:pPr>
    </w:p>
    <w:p w14:paraId="5D41E729" w14:textId="77777777" w:rsidR="002C7583" w:rsidRPr="002C7583" w:rsidRDefault="002C7583" w:rsidP="002C7583">
      <w:pPr>
        <w:spacing w:after="0" w:line="240" w:lineRule="auto"/>
        <w:jc w:val="both"/>
        <w:rPr>
          <w:rFonts w:ascii="Arial" w:eastAsia="Times New Roman" w:hAnsi="Arial" w:cs="Arial"/>
          <w:b/>
          <w:lang w:eastAsia="es-ES"/>
        </w:rPr>
      </w:pPr>
      <w:r w:rsidRPr="002C7583">
        <w:rPr>
          <w:rFonts w:ascii="Arial" w:eastAsia="Times New Roman" w:hAnsi="Arial" w:cs="Arial"/>
          <w:b/>
          <w:lang w:eastAsia="es-ES"/>
        </w:rPr>
        <w:t xml:space="preserve">Disposición Final primera. Modificación de la Ley Orgánica 6/1985, de 1 de julio, del Poder Judicial. </w:t>
      </w:r>
    </w:p>
    <w:p w14:paraId="444DFB44" w14:textId="77777777" w:rsidR="002C7583" w:rsidRPr="002C7583" w:rsidRDefault="002C7583" w:rsidP="002C7583">
      <w:pPr>
        <w:spacing w:after="0" w:line="240" w:lineRule="auto"/>
        <w:jc w:val="both"/>
        <w:rPr>
          <w:rFonts w:ascii="Arial" w:eastAsia="Times New Roman" w:hAnsi="Arial" w:cs="Arial"/>
          <w:lang w:eastAsia="es-ES"/>
        </w:rPr>
      </w:pPr>
    </w:p>
    <w:p w14:paraId="7EAD44B4" w14:textId="77777777" w:rsidR="002C7583" w:rsidRPr="002C7583" w:rsidRDefault="002C7583" w:rsidP="002C7583">
      <w:pPr>
        <w:spacing w:after="0" w:line="240" w:lineRule="auto"/>
        <w:jc w:val="both"/>
        <w:rPr>
          <w:rFonts w:ascii="Arial" w:eastAsia="Times New Roman" w:hAnsi="Arial" w:cs="Arial"/>
          <w:lang w:eastAsia="es-ES"/>
        </w:rPr>
      </w:pPr>
      <w:r w:rsidRPr="002C7583">
        <w:rPr>
          <w:rFonts w:ascii="Arial" w:eastAsia="Times New Roman" w:hAnsi="Arial" w:cs="Arial"/>
          <w:lang w:eastAsia="es-ES"/>
        </w:rPr>
        <w:t xml:space="preserve">Se modifica la letra b) y se añade una letra g) en el apartado 1 del artículo 65 de la Ley Orgánica 6/1985, de 1 de julio, del Poder Judicial, que queda redactado como sigue: </w:t>
      </w:r>
    </w:p>
    <w:p w14:paraId="5831A7E6" w14:textId="77777777" w:rsidR="002C7583" w:rsidRPr="002C7583" w:rsidRDefault="002C7583" w:rsidP="002C7583">
      <w:pPr>
        <w:spacing w:after="0" w:line="240" w:lineRule="auto"/>
        <w:jc w:val="both"/>
        <w:rPr>
          <w:rFonts w:ascii="Arial" w:eastAsia="Times New Roman" w:hAnsi="Arial" w:cs="Arial"/>
          <w:lang w:eastAsia="es-ES"/>
        </w:rPr>
      </w:pPr>
    </w:p>
    <w:p w14:paraId="0402FBCC" w14:textId="77777777" w:rsidR="002C7583" w:rsidRPr="002C7583" w:rsidRDefault="002C7583" w:rsidP="002C7583">
      <w:pPr>
        <w:spacing w:after="0" w:line="240" w:lineRule="auto"/>
        <w:jc w:val="both"/>
        <w:rPr>
          <w:rFonts w:ascii="Arial" w:eastAsia="Times New Roman" w:hAnsi="Arial" w:cs="Arial"/>
          <w:lang w:eastAsia="es-ES"/>
        </w:rPr>
      </w:pPr>
      <w:r w:rsidRPr="002C7583">
        <w:rPr>
          <w:rFonts w:ascii="Arial" w:eastAsia="Times New Roman" w:hAnsi="Arial" w:cs="Arial"/>
          <w:lang w:eastAsia="es-ES"/>
        </w:rPr>
        <w:t>“b) Falsificación de moneda y fabricación de tarjetas de crédito y débito falsas y cheques de viajero falsos o cualquier otro instrumento de pago distinto del efectivo, siempre que sean cometidos por organizaciones o grupos criminales.</w:t>
      </w:r>
    </w:p>
    <w:p w14:paraId="01828167" w14:textId="77777777" w:rsidR="002C7583" w:rsidRPr="002C7583" w:rsidRDefault="002C7583" w:rsidP="002C7583">
      <w:pPr>
        <w:spacing w:after="0" w:line="240" w:lineRule="auto"/>
        <w:jc w:val="both"/>
        <w:rPr>
          <w:rFonts w:ascii="Arial" w:eastAsia="Times New Roman" w:hAnsi="Arial" w:cs="Arial"/>
          <w:lang w:eastAsia="es-ES"/>
        </w:rPr>
      </w:pPr>
    </w:p>
    <w:p w14:paraId="06AAFA0E" w14:textId="77777777" w:rsidR="002C7583" w:rsidRPr="002C7583" w:rsidRDefault="002C7583" w:rsidP="002C7583">
      <w:pPr>
        <w:spacing w:after="0" w:line="240" w:lineRule="auto"/>
        <w:jc w:val="both"/>
        <w:rPr>
          <w:rFonts w:ascii="Arial" w:eastAsia="Times New Roman" w:hAnsi="Arial" w:cs="Arial"/>
          <w:b/>
          <w:lang w:eastAsia="es-ES"/>
        </w:rPr>
      </w:pPr>
      <w:r w:rsidRPr="002C7583">
        <w:rPr>
          <w:rFonts w:ascii="Arial" w:eastAsia="Times New Roman" w:hAnsi="Arial" w:cs="Arial"/>
          <w:b/>
          <w:lang w:eastAsia="es-ES"/>
        </w:rPr>
        <w:t xml:space="preserve">Disposición Final segunda. Modificación de la Ley Orgánica 6/1985, de 1 de julio, del Poder Judicial. </w:t>
      </w:r>
    </w:p>
    <w:p w14:paraId="68478FF3" w14:textId="77777777" w:rsidR="002C7583" w:rsidRPr="002C7583" w:rsidRDefault="002C7583" w:rsidP="002C7583">
      <w:pPr>
        <w:spacing w:after="0" w:line="240" w:lineRule="auto"/>
        <w:jc w:val="both"/>
        <w:rPr>
          <w:rFonts w:ascii="Arial" w:eastAsia="Times New Roman" w:hAnsi="Arial" w:cs="Arial"/>
          <w:b/>
          <w:lang w:eastAsia="es-ES"/>
        </w:rPr>
      </w:pPr>
    </w:p>
    <w:p w14:paraId="1C6A50B4" w14:textId="77777777" w:rsidR="002C7583" w:rsidRPr="002C7583" w:rsidRDefault="002C7583" w:rsidP="002C7583">
      <w:pPr>
        <w:spacing w:after="0" w:line="240" w:lineRule="auto"/>
        <w:jc w:val="both"/>
        <w:rPr>
          <w:rFonts w:ascii="Arial" w:eastAsia="Times New Roman" w:hAnsi="Arial" w:cs="Arial"/>
          <w:lang w:eastAsia="es-ES"/>
        </w:rPr>
      </w:pPr>
      <w:r w:rsidRPr="002C7583">
        <w:rPr>
          <w:rFonts w:ascii="Arial" w:eastAsia="Times New Roman" w:hAnsi="Arial" w:cs="Arial"/>
          <w:lang w:eastAsia="es-ES"/>
        </w:rPr>
        <w:t>Se añade una letra g) en el apartado 1 del artículo 65 de la Ley orgánica 6/1985, de 1 de julio, del Poder Judicial, que queda redactada como sigue:</w:t>
      </w:r>
    </w:p>
    <w:p w14:paraId="35A6C170" w14:textId="77777777" w:rsidR="002C7583" w:rsidRPr="002C7583" w:rsidRDefault="002C7583" w:rsidP="002C7583">
      <w:pPr>
        <w:spacing w:after="0" w:line="240" w:lineRule="auto"/>
        <w:jc w:val="both"/>
        <w:rPr>
          <w:rFonts w:ascii="Arial" w:eastAsia="Times New Roman" w:hAnsi="Arial" w:cs="Arial"/>
          <w:lang w:eastAsia="es-ES"/>
        </w:rPr>
      </w:pPr>
    </w:p>
    <w:p w14:paraId="5957BA6E" w14:textId="77777777" w:rsidR="002C7583" w:rsidRPr="002C7583" w:rsidRDefault="002C7583" w:rsidP="002C7583">
      <w:pPr>
        <w:spacing w:after="0" w:line="240" w:lineRule="auto"/>
        <w:jc w:val="both"/>
        <w:rPr>
          <w:rFonts w:ascii="Arial" w:eastAsia="Times New Roman" w:hAnsi="Arial" w:cs="Arial"/>
          <w:lang w:eastAsia="es-ES"/>
        </w:rPr>
      </w:pPr>
      <w:r w:rsidRPr="002C7583">
        <w:rPr>
          <w:rFonts w:ascii="Arial" w:eastAsia="Times New Roman" w:hAnsi="Arial" w:cs="Arial"/>
          <w:lang w:eastAsia="es-ES"/>
        </w:rPr>
        <w:lastRenderedPageBreak/>
        <w:t>“g) Delitos de contrabando de material de defensa, de otros materiales y de productos y tecnología de doble uso.”</w:t>
      </w:r>
    </w:p>
    <w:p w14:paraId="1597F883" w14:textId="77777777" w:rsidR="002C7583" w:rsidRPr="002C7583" w:rsidRDefault="002C7583" w:rsidP="002C7583">
      <w:pPr>
        <w:spacing w:after="0" w:line="240" w:lineRule="auto"/>
        <w:jc w:val="both"/>
        <w:rPr>
          <w:rFonts w:ascii="Arial" w:eastAsia="Times New Roman" w:hAnsi="Arial" w:cs="Arial"/>
          <w:lang w:eastAsia="es-ES"/>
        </w:rPr>
      </w:pPr>
    </w:p>
    <w:p w14:paraId="0225784F" w14:textId="77777777" w:rsidR="002C7583" w:rsidRPr="002C7583" w:rsidRDefault="002C7583" w:rsidP="002C7583">
      <w:pPr>
        <w:spacing w:after="0" w:line="240" w:lineRule="auto"/>
        <w:jc w:val="both"/>
        <w:rPr>
          <w:rFonts w:ascii="Arial" w:eastAsia="Times New Roman" w:hAnsi="Arial" w:cs="Arial"/>
          <w:lang w:eastAsia="es-ES"/>
        </w:rPr>
      </w:pPr>
    </w:p>
    <w:p w14:paraId="72852372" w14:textId="77777777" w:rsidR="002C7583" w:rsidRPr="002C7583" w:rsidRDefault="002C7583" w:rsidP="002C7583">
      <w:pPr>
        <w:spacing w:after="0" w:line="240" w:lineRule="auto"/>
        <w:jc w:val="both"/>
        <w:rPr>
          <w:rFonts w:ascii="Arial" w:eastAsia="Times New Roman" w:hAnsi="Arial" w:cs="Arial"/>
          <w:b/>
          <w:lang w:eastAsia="es-ES"/>
        </w:rPr>
      </w:pPr>
      <w:r w:rsidRPr="002C7583">
        <w:rPr>
          <w:rFonts w:ascii="Arial" w:eastAsia="Times New Roman" w:hAnsi="Arial" w:cs="Arial"/>
          <w:b/>
          <w:lang w:eastAsia="es-ES"/>
        </w:rPr>
        <w:t xml:space="preserve">Disposición final tercera. Naturaleza de la ley. </w:t>
      </w:r>
    </w:p>
    <w:p w14:paraId="78ADC7D2" w14:textId="77777777" w:rsidR="002C7583" w:rsidRPr="002C7583" w:rsidRDefault="002C7583" w:rsidP="002C7583">
      <w:pPr>
        <w:spacing w:after="0" w:line="240" w:lineRule="auto"/>
        <w:jc w:val="both"/>
        <w:rPr>
          <w:rFonts w:ascii="Arial" w:eastAsia="Times New Roman" w:hAnsi="Arial" w:cs="Arial"/>
          <w:lang w:eastAsia="es-ES"/>
        </w:rPr>
      </w:pPr>
    </w:p>
    <w:p w14:paraId="3DD7BA5A" w14:textId="77777777" w:rsidR="002C7583" w:rsidRPr="002C7583" w:rsidRDefault="002C7583" w:rsidP="002C7583">
      <w:pPr>
        <w:spacing w:after="0" w:line="240" w:lineRule="auto"/>
        <w:jc w:val="both"/>
        <w:rPr>
          <w:rFonts w:ascii="Arial" w:eastAsia="Times New Roman" w:hAnsi="Arial" w:cs="Arial"/>
          <w:lang w:eastAsia="es-ES"/>
        </w:rPr>
      </w:pPr>
      <w:r w:rsidRPr="002C7583">
        <w:rPr>
          <w:rFonts w:ascii="Arial" w:eastAsia="Times New Roman" w:hAnsi="Arial" w:cs="Arial"/>
          <w:lang w:eastAsia="es-ES"/>
        </w:rPr>
        <w:t>Esta ley tiene carácter de ley orgánica.</w:t>
      </w:r>
    </w:p>
    <w:p w14:paraId="1814DA4D" w14:textId="77777777" w:rsidR="002C7583" w:rsidRPr="002C7583" w:rsidRDefault="002C7583" w:rsidP="002C7583">
      <w:pPr>
        <w:spacing w:after="0" w:line="240" w:lineRule="auto"/>
        <w:jc w:val="both"/>
        <w:rPr>
          <w:rFonts w:ascii="Arial" w:eastAsia="Times New Roman" w:hAnsi="Arial" w:cs="Arial"/>
          <w:lang w:eastAsia="es-ES"/>
        </w:rPr>
      </w:pPr>
    </w:p>
    <w:p w14:paraId="73077A03" w14:textId="77777777" w:rsidR="002C7583" w:rsidRPr="002C7583" w:rsidRDefault="002C7583" w:rsidP="002C7583">
      <w:pPr>
        <w:spacing w:after="0" w:line="240" w:lineRule="auto"/>
        <w:jc w:val="both"/>
        <w:rPr>
          <w:rFonts w:ascii="Arial" w:eastAsia="Times New Roman" w:hAnsi="Arial" w:cs="Arial"/>
          <w:lang w:eastAsia="es-ES"/>
        </w:rPr>
      </w:pPr>
    </w:p>
    <w:p w14:paraId="00E0AE38" w14:textId="77777777" w:rsidR="002C7583" w:rsidRPr="002C7583" w:rsidRDefault="002C7583" w:rsidP="002C7583">
      <w:pPr>
        <w:spacing w:after="0" w:line="240" w:lineRule="auto"/>
        <w:jc w:val="both"/>
        <w:rPr>
          <w:rFonts w:ascii="Arial" w:eastAsia="Times New Roman" w:hAnsi="Arial" w:cs="Arial"/>
          <w:b/>
          <w:lang w:eastAsia="es-ES"/>
        </w:rPr>
      </w:pPr>
      <w:r w:rsidRPr="002C7583">
        <w:rPr>
          <w:rFonts w:ascii="Arial" w:eastAsia="Times New Roman" w:hAnsi="Arial" w:cs="Arial"/>
          <w:b/>
          <w:lang w:eastAsia="es-ES"/>
        </w:rPr>
        <w:t xml:space="preserve">Disposición final cuarta. Títulos competenciales. </w:t>
      </w:r>
    </w:p>
    <w:p w14:paraId="468847D3" w14:textId="77777777" w:rsidR="002C7583" w:rsidRPr="002C7583" w:rsidRDefault="002C7583" w:rsidP="002C7583">
      <w:pPr>
        <w:spacing w:after="0" w:line="240" w:lineRule="auto"/>
        <w:jc w:val="both"/>
        <w:rPr>
          <w:rFonts w:ascii="Arial" w:eastAsia="Times New Roman" w:hAnsi="Arial" w:cs="Arial"/>
          <w:lang w:eastAsia="es-ES"/>
        </w:rPr>
      </w:pPr>
    </w:p>
    <w:p w14:paraId="75384D4E" w14:textId="77777777" w:rsidR="002C7583" w:rsidRPr="002C7583" w:rsidRDefault="002C7583" w:rsidP="002C7583">
      <w:pPr>
        <w:spacing w:after="0" w:line="240" w:lineRule="auto"/>
        <w:jc w:val="both"/>
        <w:rPr>
          <w:rFonts w:ascii="Arial" w:eastAsia="Times New Roman" w:hAnsi="Arial" w:cs="Arial"/>
          <w:lang w:eastAsia="es-ES"/>
        </w:rPr>
      </w:pPr>
      <w:r w:rsidRPr="002C7583">
        <w:rPr>
          <w:rFonts w:ascii="Arial" w:eastAsia="Times New Roman" w:hAnsi="Arial" w:cs="Arial"/>
          <w:lang w:eastAsia="es-ES"/>
        </w:rPr>
        <w:t>El artículo primero, que modifica la Ley Orgánica 10/1995, de 23 de noviembre, del Código Penal, se dicta al amparo del artículo 149.1. 6.ª de la Constitución Española, que atribuye al Estado la competencia exclusiva en materia de legislación penal.</w:t>
      </w:r>
    </w:p>
    <w:p w14:paraId="0BFAA4F9" w14:textId="77777777" w:rsidR="002C7583" w:rsidRPr="002C7583" w:rsidRDefault="002C7583" w:rsidP="002C7583">
      <w:pPr>
        <w:spacing w:after="0" w:line="240" w:lineRule="auto"/>
        <w:jc w:val="both"/>
        <w:rPr>
          <w:rFonts w:ascii="Arial" w:eastAsia="Times New Roman" w:hAnsi="Arial" w:cs="Arial"/>
          <w:lang w:eastAsia="es-ES"/>
        </w:rPr>
      </w:pPr>
    </w:p>
    <w:p w14:paraId="29978CD8" w14:textId="77777777" w:rsidR="002C7583" w:rsidRPr="002C7583" w:rsidRDefault="002C7583" w:rsidP="002C7583">
      <w:pPr>
        <w:spacing w:after="0" w:line="240" w:lineRule="auto"/>
        <w:jc w:val="both"/>
        <w:rPr>
          <w:rFonts w:ascii="Arial" w:eastAsia="Times New Roman" w:hAnsi="Arial" w:cs="Arial"/>
          <w:b/>
          <w:lang w:eastAsia="es-ES"/>
        </w:rPr>
      </w:pPr>
      <w:r w:rsidRPr="002C7583">
        <w:rPr>
          <w:rFonts w:ascii="Arial" w:eastAsia="Times New Roman" w:hAnsi="Arial" w:cs="Arial"/>
          <w:b/>
          <w:lang w:eastAsia="es-ES"/>
        </w:rPr>
        <w:t xml:space="preserve">Disposición final quinta. Incorporación de Derecho de la Unión Europea. </w:t>
      </w:r>
    </w:p>
    <w:p w14:paraId="360310A3" w14:textId="77777777" w:rsidR="002C7583" w:rsidRPr="002C7583" w:rsidRDefault="002C7583" w:rsidP="002C7583">
      <w:pPr>
        <w:spacing w:after="0" w:line="240" w:lineRule="auto"/>
        <w:jc w:val="both"/>
        <w:rPr>
          <w:rFonts w:ascii="Arial" w:eastAsia="Times New Roman" w:hAnsi="Arial" w:cs="Arial"/>
          <w:lang w:eastAsia="es-ES"/>
        </w:rPr>
      </w:pPr>
    </w:p>
    <w:p w14:paraId="2EA212B6" w14:textId="77777777" w:rsidR="002C7583" w:rsidRPr="002C7583" w:rsidRDefault="002C7583" w:rsidP="002C7583">
      <w:pPr>
        <w:spacing w:after="0" w:line="240" w:lineRule="auto"/>
        <w:jc w:val="both"/>
        <w:rPr>
          <w:rFonts w:ascii="Arial" w:eastAsia="Times New Roman" w:hAnsi="Arial" w:cs="Arial"/>
          <w:lang w:eastAsia="es-ES"/>
        </w:rPr>
      </w:pPr>
      <w:r w:rsidRPr="002C7583">
        <w:rPr>
          <w:rFonts w:ascii="Arial" w:eastAsia="Times New Roman" w:hAnsi="Arial" w:cs="Arial"/>
          <w:lang w:eastAsia="es-ES"/>
        </w:rPr>
        <w:t xml:space="preserve">Mediante esta ley orgánica se incorporan al Derecho español la Directiva (UE) 2019/713, de 17 de abril de 2019, sobre la lucha contra el fraude y la falsificación de medios de pago distintos del efectivo. También se completa la transposición al Derecho español de la Directiva 2014/57/UE del Parlamento Europeo y del Consejo, de 16 de abril de 2014, sobre las sanciones penales aplicables al abuso de mercado y de la Directiva (UE) 2019/1 del Parlamento Europeo y del Consejo de 11 de diciembre de 2018 encaminada a dotar a las autoridades de competencia de los Estados miembros de medios para aplicar más eficazmente las normas sobre competencia y garantizar el correcto funcionamiento del mercado interior. </w:t>
      </w:r>
    </w:p>
    <w:p w14:paraId="1AB48D43" w14:textId="77777777" w:rsidR="002C7583" w:rsidRPr="002C7583" w:rsidRDefault="002C7583" w:rsidP="002C7583">
      <w:pPr>
        <w:spacing w:after="0" w:line="240" w:lineRule="auto"/>
        <w:jc w:val="both"/>
        <w:rPr>
          <w:rFonts w:ascii="Arial" w:eastAsia="Times New Roman" w:hAnsi="Arial" w:cs="Arial"/>
          <w:lang w:eastAsia="es-ES"/>
        </w:rPr>
      </w:pPr>
    </w:p>
    <w:p w14:paraId="1B9BFF36" w14:textId="77777777" w:rsidR="002C7583" w:rsidRPr="002C7583" w:rsidRDefault="002C7583" w:rsidP="002C7583">
      <w:pPr>
        <w:spacing w:after="0" w:line="240" w:lineRule="auto"/>
        <w:jc w:val="both"/>
        <w:rPr>
          <w:rFonts w:ascii="Arial" w:eastAsia="Times New Roman" w:hAnsi="Arial" w:cs="Arial"/>
          <w:b/>
          <w:bCs/>
          <w:lang w:eastAsia="es-ES"/>
        </w:rPr>
      </w:pPr>
      <w:r w:rsidRPr="002C7583">
        <w:rPr>
          <w:rFonts w:ascii="Arial" w:eastAsia="Times New Roman" w:hAnsi="Arial" w:cs="Arial"/>
          <w:b/>
          <w:bCs/>
          <w:lang w:eastAsia="es-ES"/>
        </w:rPr>
        <w:t xml:space="preserve">Disposición final sexta. Entrada en vigor. </w:t>
      </w:r>
    </w:p>
    <w:p w14:paraId="4A9A731D" w14:textId="77777777" w:rsidR="002C7583" w:rsidRPr="002C7583" w:rsidRDefault="002C7583" w:rsidP="002C7583">
      <w:pPr>
        <w:spacing w:after="0" w:line="240" w:lineRule="auto"/>
        <w:jc w:val="both"/>
        <w:rPr>
          <w:rFonts w:ascii="Arial" w:eastAsia="Times New Roman" w:hAnsi="Arial" w:cs="Arial"/>
          <w:lang w:eastAsia="es-ES"/>
        </w:rPr>
      </w:pPr>
    </w:p>
    <w:p w14:paraId="223EF7BA" w14:textId="77777777" w:rsidR="002C7583" w:rsidRPr="002C7583" w:rsidRDefault="002C7583" w:rsidP="002C7583">
      <w:pPr>
        <w:spacing w:after="0" w:line="240" w:lineRule="auto"/>
        <w:jc w:val="both"/>
        <w:rPr>
          <w:rFonts w:ascii="Arial" w:eastAsia="Times New Roman" w:hAnsi="Arial" w:cs="Arial"/>
          <w:lang w:eastAsia="es-ES"/>
        </w:rPr>
      </w:pPr>
      <w:r w:rsidRPr="002C7583">
        <w:rPr>
          <w:rFonts w:ascii="Arial" w:eastAsia="Times New Roman" w:hAnsi="Arial" w:cs="Arial"/>
          <w:lang w:eastAsia="es-ES"/>
        </w:rPr>
        <w:t xml:space="preserve">Esta Ley Orgánica entrará en vigor a los veinte días de su publicación en el Boletín Oficial del Estado. </w:t>
      </w:r>
    </w:p>
    <w:p w14:paraId="64B26C64" w14:textId="77777777" w:rsidR="002C7583" w:rsidRPr="002C7583" w:rsidRDefault="002C7583" w:rsidP="002C7583">
      <w:pPr>
        <w:spacing w:after="0" w:line="240" w:lineRule="auto"/>
        <w:jc w:val="both"/>
        <w:rPr>
          <w:rFonts w:ascii="Arial" w:eastAsia="Times New Roman" w:hAnsi="Arial" w:cs="Arial"/>
          <w:lang w:eastAsia="es-ES"/>
        </w:rPr>
      </w:pPr>
    </w:p>
    <w:p w14:paraId="2BF51FA8" w14:textId="77777777" w:rsidR="002C7583" w:rsidRPr="002C7583" w:rsidRDefault="002C7583" w:rsidP="002C7583">
      <w:pPr>
        <w:spacing w:after="0" w:line="240" w:lineRule="auto"/>
        <w:jc w:val="both"/>
        <w:rPr>
          <w:rFonts w:ascii="Arial" w:eastAsia="Times New Roman" w:hAnsi="Arial" w:cs="Arial"/>
          <w:lang w:eastAsia="es-ES"/>
        </w:rPr>
      </w:pPr>
    </w:p>
    <w:p w14:paraId="75CC3603" w14:textId="77777777" w:rsidR="002C7583" w:rsidRPr="002C7583" w:rsidRDefault="002C7583" w:rsidP="002C7583">
      <w:pPr>
        <w:spacing w:after="0" w:line="240" w:lineRule="auto"/>
        <w:jc w:val="both"/>
        <w:rPr>
          <w:rFonts w:ascii="Arial" w:eastAsia="Times New Roman" w:hAnsi="Arial" w:cs="Arial"/>
          <w:lang w:eastAsia="es-ES"/>
        </w:rPr>
      </w:pPr>
    </w:p>
    <w:p w14:paraId="364103F5" w14:textId="77777777" w:rsidR="002C7583" w:rsidRPr="002C7583" w:rsidRDefault="002C7583" w:rsidP="002C7583">
      <w:pPr>
        <w:spacing w:after="0" w:line="240" w:lineRule="auto"/>
        <w:jc w:val="both"/>
        <w:rPr>
          <w:rFonts w:ascii="Arial" w:eastAsia="Times New Roman" w:hAnsi="Arial" w:cs="Arial"/>
          <w:b/>
          <w:u w:val="single"/>
          <w:lang w:eastAsia="es-ES"/>
        </w:rPr>
      </w:pPr>
    </w:p>
    <w:p w14:paraId="77419303" w14:textId="77777777" w:rsidR="002C7583" w:rsidRPr="002C7583" w:rsidRDefault="002C7583" w:rsidP="002C7583">
      <w:pPr>
        <w:rPr>
          <w:rFonts w:ascii="Arial" w:eastAsia="Times New Roman" w:hAnsi="Arial" w:cs="Arial"/>
          <w:b/>
          <w:u w:val="single"/>
          <w:lang w:eastAsia="es-ES"/>
        </w:rPr>
      </w:pPr>
      <w:r w:rsidRPr="002C7583">
        <w:rPr>
          <w:rFonts w:ascii="Arial" w:eastAsia="Times New Roman" w:hAnsi="Arial" w:cs="Arial"/>
          <w:b/>
          <w:u w:val="single"/>
          <w:lang w:eastAsia="es-ES"/>
        </w:rPr>
        <w:br w:type="page"/>
      </w:r>
    </w:p>
    <w:p w14:paraId="29B1BF18" w14:textId="77777777" w:rsidR="002C7583" w:rsidRPr="002C7583" w:rsidRDefault="002C7583" w:rsidP="002C7583">
      <w:pPr>
        <w:spacing w:after="0" w:line="240" w:lineRule="auto"/>
        <w:jc w:val="both"/>
        <w:rPr>
          <w:rFonts w:ascii="Arial" w:eastAsia="Times New Roman" w:hAnsi="Arial" w:cs="Arial"/>
          <w:b/>
          <w:lang w:eastAsia="es-ES"/>
        </w:rPr>
      </w:pPr>
      <w:r w:rsidRPr="002C7583">
        <w:rPr>
          <w:rFonts w:ascii="Arial" w:eastAsia="Times New Roman" w:hAnsi="Arial" w:cs="Arial"/>
          <w:b/>
          <w:lang w:eastAsia="es-ES"/>
        </w:rPr>
        <w:lastRenderedPageBreak/>
        <w:t>ANTECEDENTES</w:t>
      </w:r>
    </w:p>
    <w:p w14:paraId="22FCCFDE" w14:textId="77777777" w:rsidR="002C7583" w:rsidRPr="002C7583" w:rsidRDefault="002C7583" w:rsidP="002C7583">
      <w:pPr>
        <w:spacing w:after="0" w:line="240" w:lineRule="auto"/>
        <w:jc w:val="both"/>
        <w:rPr>
          <w:rFonts w:ascii="Arial" w:eastAsia="Times New Roman" w:hAnsi="Arial" w:cs="Arial"/>
          <w:b/>
          <w:u w:val="single"/>
          <w:lang w:eastAsia="es-ES"/>
        </w:rPr>
      </w:pPr>
    </w:p>
    <w:p w14:paraId="57BF2A73" w14:textId="77777777" w:rsidR="002C7583" w:rsidRPr="002C7583" w:rsidRDefault="002C7583" w:rsidP="002C7583">
      <w:pPr>
        <w:spacing w:after="0" w:line="240" w:lineRule="auto"/>
        <w:jc w:val="both"/>
        <w:rPr>
          <w:rFonts w:ascii="Arial" w:eastAsia="Times New Roman" w:hAnsi="Arial" w:cs="Arial"/>
          <w:bCs/>
          <w:lang w:eastAsia="es-ES"/>
        </w:rPr>
      </w:pPr>
      <w:r w:rsidRPr="002C7583">
        <w:rPr>
          <w:rFonts w:ascii="Arial" w:eastAsia="Times New Roman" w:hAnsi="Arial" w:cs="Arial"/>
          <w:bCs/>
          <w:lang w:eastAsia="es-ES"/>
        </w:rPr>
        <w:t>- Ley Orgánica 10/1995, de 23 de noviembre, del Código Penal.</w:t>
      </w:r>
    </w:p>
    <w:p w14:paraId="7B46AB8F" w14:textId="77777777" w:rsidR="002C7583" w:rsidRPr="002C7583" w:rsidRDefault="002C7583" w:rsidP="00986B73">
      <w:pPr>
        <w:spacing w:line="360" w:lineRule="auto"/>
        <w:jc w:val="both"/>
        <w:rPr>
          <w:rFonts w:ascii="Arial" w:hAnsi="Arial" w:cs="Arial"/>
        </w:rPr>
      </w:pPr>
    </w:p>
    <w:sectPr w:rsidR="002C7583" w:rsidRPr="002C7583" w:rsidSect="00C84D17">
      <w:headerReference w:type="default" r:id="rId7"/>
      <w:pgSz w:w="11906" w:h="16838"/>
      <w:pgMar w:top="3119"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98BD7" w14:textId="77777777" w:rsidR="000736BC" w:rsidRDefault="000736BC" w:rsidP="00230C45">
      <w:pPr>
        <w:spacing w:after="0" w:line="240" w:lineRule="auto"/>
      </w:pPr>
      <w:r>
        <w:separator/>
      </w:r>
    </w:p>
  </w:endnote>
  <w:endnote w:type="continuationSeparator" w:id="0">
    <w:p w14:paraId="46194049" w14:textId="77777777" w:rsidR="000736BC" w:rsidRDefault="000736BC" w:rsidP="00230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2C742" w14:textId="77777777" w:rsidR="000736BC" w:rsidRDefault="000736BC" w:rsidP="00230C45">
      <w:pPr>
        <w:spacing w:after="0" w:line="240" w:lineRule="auto"/>
      </w:pPr>
      <w:r>
        <w:separator/>
      </w:r>
    </w:p>
  </w:footnote>
  <w:footnote w:type="continuationSeparator" w:id="0">
    <w:p w14:paraId="74AC9455" w14:textId="77777777" w:rsidR="000736BC" w:rsidRDefault="000736BC" w:rsidP="00230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36463" w14:textId="77777777" w:rsidR="00230C45" w:rsidRPr="0007130F" w:rsidRDefault="00230C45" w:rsidP="00230C45">
    <w:pPr>
      <w:pStyle w:val="Encabezado"/>
      <w:rPr>
        <w:lang w:val="es-ES_tradnl"/>
      </w:rPr>
    </w:pPr>
    <w:r>
      <w:rPr>
        <w:noProof/>
      </w:rPr>
      <w:drawing>
        <wp:inline distT="0" distB="0" distL="0" distR="0" wp14:anchorId="06821861" wp14:editId="47EE04E6">
          <wp:extent cx="1771650" cy="908033"/>
          <wp:effectExtent l="0" t="0" r="0" b="698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6179" b="14018"/>
                  <a:stretch/>
                </pic:blipFill>
                <pic:spPr bwMode="auto">
                  <a:xfrm>
                    <a:off x="0" y="0"/>
                    <a:ext cx="1798861" cy="921979"/>
                  </a:xfrm>
                  <a:prstGeom prst="rect">
                    <a:avLst/>
                  </a:prstGeom>
                  <a:noFill/>
                  <a:ln>
                    <a:noFill/>
                  </a:ln>
                  <a:extLst>
                    <a:ext uri="{53640926-AAD7-44D8-BBD7-CCE9431645EC}">
                      <a14:shadowObscured xmlns:a14="http://schemas.microsoft.com/office/drawing/2010/main"/>
                    </a:ext>
                  </a:extLst>
                </pic:spPr>
              </pic:pic>
            </a:graphicData>
          </a:graphic>
        </wp:inline>
      </w:drawing>
    </w:r>
    <w:r>
      <w:rPr>
        <w:lang w:val="es-ES_tradnl"/>
      </w:rPr>
      <w:t xml:space="preserve">                                                         </w:t>
    </w:r>
    <w:r w:rsidRPr="001027AF">
      <w:rPr>
        <w:noProof/>
        <w:lang w:eastAsia="es-ES"/>
      </w:rPr>
      <w:drawing>
        <wp:inline distT="0" distB="0" distL="0" distR="0" wp14:anchorId="113EC639" wp14:editId="304723F1">
          <wp:extent cx="1710092" cy="962660"/>
          <wp:effectExtent l="0" t="0" r="4445" b="0"/>
          <wp:docPr id="9" name="Imagen 9" descr="Z:\GABINETE TECNICO\COMITÉ PERMANENTE\XIV LEGISLATURA 2019-2023\INICIATIVAS\PPL CONJUNTA CON UP\logo_gp_2019-sin equ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GABINETE TECNICO\COMITÉ PERMANENTE\XIV LEGISLATURA 2019-2023\INICIATIVAS\PPL CONJUNTA CON UP\logo_gp_2019-sin equ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1291" cy="968964"/>
                  </a:xfrm>
                  <a:prstGeom prst="rect">
                    <a:avLst/>
                  </a:prstGeom>
                  <a:noFill/>
                  <a:ln>
                    <a:noFill/>
                  </a:ln>
                </pic:spPr>
              </pic:pic>
            </a:graphicData>
          </a:graphic>
        </wp:inline>
      </w:drawing>
    </w:r>
  </w:p>
  <w:p w14:paraId="70AF0C91" w14:textId="77777777" w:rsidR="00230C45" w:rsidRDefault="00230C45" w:rsidP="00230C45">
    <w:pPr>
      <w:pStyle w:val="Encabezado"/>
    </w:pPr>
  </w:p>
  <w:p w14:paraId="3ECABB42" w14:textId="77777777" w:rsidR="00230C45" w:rsidRDefault="00230C4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2625F"/>
    <w:multiLevelType w:val="hybridMultilevel"/>
    <w:tmpl w:val="37C2789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9B77C2C"/>
    <w:multiLevelType w:val="hybridMultilevel"/>
    <w:tmpl w:val="37C2789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D17"/>
    <w:rsid w:val="000736BC"/>
    <w:rsid w:val="000E3861"/>
    <w:rsid w:val="00230C45"/>
    <w:rsid w:val="002C609F"/>
    <w:rsid w:val="002C7583"/>
    <w:rsid w:val="006428C5"/>
    <w:rsid w:val="007C4721"/>
    <w:rsid w:val="007E522E"/>
    <w:rsid w:val="00865C17"/>
    <w:rsid w:val="008F505E"/>
    <w:rsid w:val="00986B73"/>
    <w:rsid w:val="00A16937"/>
    <w:rsid w:val="00AF55CD"/>
    <w:rsid w:val="00C219C7"/>
    <w:rsid w:val="00C84D17"/>
    <w:rsid w:val="00CD097B"/>
    <w:rsid w:val="00CF3BFF"/>
    <w:rsid w:val="00D264BE"/>
    <w:rsid w:val="00DF25CB"/>
    <w:rsid w:val="00E25407"/>
    <w:rsid w:val="00EA442B"/>
    <w:rsid w:val="00F941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FB4CE"/>
  <w15:chartTrackingRefBased/>
  <w15:docId w15:val="{6527B5A3-BF33-4EB3-9054-45DBBCC3F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0C4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30C45"/>
  </w:style>
  <w:style w:type="paragraph" w:styleId="Piedepgina">
    <w:name w:val="footer"/>
    <w:basedOn w:val="Normal"/>
    <w:link w:val="PiedepginaCar"/>
    <w:uiPriority w:val="99"/>
    <w:unhideWhenUsed/>
    <w:rsid w:val="00230C4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30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937</TotalTime>
  <Pages>22</Pages>
  <Words>8762</Words>
  <Characters>48194</Characters>
  <Application>Microsoft Office Word</Application>
  <DocSecurity>0</DocSecurity>
  <Lines>401</Lines>
  <Paragraphs>113</Paragraphs>
  <ScaleCrop>false</ScaleCrop>
  <HeadingPairs>
    <vt:vector size="2" baseType="variant">
      <vt:variant>
        <vt:lpstr>Título</vt:lpstr>
      </vt:variant>
      <vt:variant>
        <vt:i4>1</vt:i4>
      </vt:variant>
    </vt:vector>
  </HeadingPairs>
  <TitlesOfParts>
    <vt:vector size="1" baseType="lpstr">
      <vt:lpstr/>
    </vt:vector>
  </TitlesOfParts>
  <Company>Congreso de los Diputados</Company>
  <LinksUpToDate>false</LinksUpToDate>
  <CharactersWithSpaces>56843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Dueñas Romero</dc:creator>
  <cp:keywords/>
  <dc:description/>
  <cp:lastModifiedBy>Luis Guillermo Tapia Martínez</cp:lastModifiedBy>
  <cp:revision>4</cp:revision>
  <cp:lastPrinted>2022-08-24T10:48:00Z</cp:lastPrinted>
  <dcterms:created xsi:type="dcterms:W3CDTF">2022-11-10T16:30:00Z</dcterms:created>
  <dcterms:modified xsi:type="dcterms:W3CDTF">2022-11-11T08:05:00Z</dcterms:modified>
</cp:coreProperties>
</file>