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1051" w14:textId="77777777" w:rsidR="00CF3BFF" w:rsidRPr="00D57543" w:rsidRDefault="00CF3BFF" w:rsidP="00CF3BFF">
      <w:pPr>
        <w:shd w:val="clear" w:color="auto" w:fill="FFFFFF"/>
        <w:spacing w:after="0" w:line="360" w:lineRule="auto"/>
        <w:jc w:val="center"/>
        <w:rPr>
          <w:rFonts w:ascii="Arial" w:eastAsia="Times New Roman" w:hAnsi="Arial" w:cs="Arial"/>
          <w:b/>
          <w:bCs/>
          <w:color w:val="212121"/>
          <w:u w:val="single"/>
          <w:lang w:eastAsia="es-ES" w:bidi="es-ES"/>
        </w:rPr>
      </w:pPr>
      <w:r w:rsidRPr="00D57543">
        <w:rPr>
          <w:rFonts w:ascii="Arial" w:eastAsia="Times New Roman" w:hAnsi="Arial" w:cs="Arial"/>
          <w:b/>
          <w:bCs/>
          <w:color w:val="212121"/>
          <w:u w:val="single"/>
          <w:lang w:eastAsia="es-ES" w:bidi="es-ES"/>
        </w:rPr>
        <w:t>A LA MESA DEL CONGRESO DE LOS DIPUTADOS</w:t>
      </w:r>
    </w:p>
    <w:p w14:paraId="4953DD26" w14:textId="77777777" w:rsidR="00CF3BFF" w:rsidRPr="00D57543" w:rsidRDefault="00CF3BFF" w:rsidP="00CF3BFF">
      <w:pPr>
        <w:shd w:val="clear" w:color="auto" w:fill="FFFFFF"/>
        <w:spacing w:after="0" w:line="360" w:lineRule="auto"/>
        <w:jc w:val="both"/>
        <w:rPr>
          <w:rFonts w:ascii="Arial" w:eastAsia="Times New Roman" w:hAnsi="Arial" w:cs="Arial"/>
          <w:b/>
          <w:bCs/>
          <w:color w:val="212121"/>
          <w:lang w:eastAsia="es-ES" w:bidi="es-ES"/>
        </w:rPr>
      </w:pPr>
    </w:p>
    <w:p w14:paraId="3157DFF6" w14:textId="265879A9" w:rsidR="00CF3BFF" w:rsidRPr="00D57543" w:rsidRDefault="00CF3BFF" w:rsidP="00CF3BFF">
      <w:pPr>
        <w:shd w:val="clear" w:color="auto" w:fill="FFFFFF"/>
        <w:spacing w:after="0" w:line="360" w:lineRule="auto"/>
        <w:ind w:firstLine="708"/>
        <w:jc w:val="both"/>
        <w:rPr>
          <w:rFonts w:ascii="Arial" w:eastAsia="Times New Roman" w:hAnsi="Arial" w:cs="Arial"/>
          <w:b/>
          <w:bCs/>
          <w:iCs/>
          <w:color w:val="212121"/>
          <w:lang w:eastAsia="es-ES" w:bidi="es-ES"/>
        </w:rPr>
      </w:pPr>
      <w:r>
        <w:rPr>
          <w:rFonts w:ascii="Arial" w:eastAsia="Times New Roman" w:hAnsi="Arial" w:cs="Arial"/>
          <w:color w:val="212121"/>
          <w:lang w:eastAsia="es-ES" w:bidi="es-ES"/>
        </w:rPr>
        <w:t>Los Grupos Parlamentarios firmantes</w:t>
      </w:r>
      <w:r w:rsidRPr="00D57543">
        <w:rPr>
          <w:rFonts w:ascii="Arial" w:eastAsia="Times New Roman" w:hAnsi="Arial" w:cs="Arial"/>
          <w:color w:val="212121"/>
          <w:lang w:eastAsia="es-ES" w:bidi="es-ES"/>
        </w:rPr>
        <w:t xml:space="preserve">, </w:t>
      </w:r>
      <w:r>
        <w:rPr>
          <w:rFonts w:ascii="Arial" w:eastAsia="Times New Roman" w:hAnsi="Arial" w:cs="Arial"/>
          <w:color w:val="212121"/>
          <w:lang w:eastAsia="es-ES" w:bidi="es-ES"/>
        </w:rPr>
        <w:t>se dirigen a esa</w:t>
      </w:r>
      <w:r w:rsidRPr="00D57543">
        <w:rPr>
          <w:rFonts w:ascii="Arial" w:eastAsia="Times New Roman" w:hAnsi="Arial" w:cs="Arial"/>
          <w:color w:val="212121"/>
          <w:lang w:eastAsia="es-ES" w:bidi="es-ES"/>
        </w:rPr>
        <w:t xml:space="preserve"> Mesa para, al amparo de lo establecido en el artículo 124 y siguientes del vigente Reglamento de la Cámara, presentar la siguiente </w:t>
      </w:r>
      <w:r w:rsidR="002C7583" w:rsidRPr="002C7583">
        <w:rPr>
          <w:rFonts w:ascii="Arial" w:eastAsia="Times New Roman" w:hAnsi="Arial" w:cs="Arial"/>
          <w:b/>
          <w:bCs/>
          <w:color w:val="212121"/>
          <w:lang w:eastAsia="es-ES" w:bidi="es-ES"/>
        </w:rPr>
        <w:t>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w:t>
      </w:r>
    </w:p>
    <w:p w14:paraId="13379C17" w14:textId="77777777" w:rsidR="00CF3BFF" w:rsidRPr="00D57543" w:rsidRDefault="00CF3BFF" w:rsidP="00CF3BFF">
      <w:pPr>
        <w:shd w:val="clear" w:color="auto" w:fill="FFFFFF"/>
        <w:spacing w:after="0" w:line="360" w:lineRule="auto"/>
        <w:jc w:val="both"/>
        <w:rPr>
          <w:rFonts w:ascii="Arial" w:eastAsia="Times New Roman" w:hAnsi="Arial" w:cs="Arial"/>
          <w:bCs/>
          <w:iCs/>
          <w:color w:val="212121"/>
          <w:lang w:eastAsia="es-ES" w:bidi="es-ES"/>
        </w:rPr>
      </w:pPr>
    </w:p>
    <w:p w14:paraId="576BC8EA" w14:textId="77777777" w:rsidR="00CF3BFF" w:rsidRPr="00986B73" w:rsidRDefault="00CF3BFF" w:rsidP="00CF3BFF">
      <w:pPr>
        <w:shd w:val="clear" w:color="auto" w:fill="FFFFFF"/>
        <w:spacing w:after="0" w:line="360" w:lineRule="auto"/>
        <w:jc w:val="both"/>
        <w:rPr>
          <w:rFonts w:ascii="Arial" w:hAnsi="Arial" w:cs="Arial"/>
        </w:rPr>
      </w:pPr>
      <w:r>
        <w:rPr>
          <w:rFonts w:ascii="Arial" w:eastAsia="Times New Roman" w:hAnsi="Arial" w:cs="Arial"/>
          <w:color w:val="212121"/>
          <w:lang w:eastAsia="es-ES" w:bidi="es-ES"/>
        </w:rPr>
        <w:tab/>
        <w:t xml:space="preserve">Así mismo, </w:t>
      </w:r>
      <w:r w:rsidRPr="00986B73">
        <w:rPr>
          <w:rFonts w:ascii="Arial" w:hAnsi="Arial" w:cs="Arial"/>
        </w:rPr>
        <w:t xml:space="preserve">al amparo de lo dispuesto en el artículo 93 del Reglamento del Congreso de los Diputados, solicitan que la Mesa acuerde </w:t>
      </w:r>
      <w:r>
        <w:rPr>
          <w:rFonts w:ascii="Arial" w:hAnsi="Arial" w:cs="Arial"/>
        </w:rPr>
        <w:t>su</w:t>
      </w:r>
      <w:r w:rsidRPr="00986B73">
        <w:rPr>
          <w:rFonts w:ascii="Arial" w:hAnsi="Arial" w:cs="Arial"/>
        </w:rPr>
        <w:t xml:space="preserve"> tramitación por el </w:t>
      </w:r>
      <w:r w:rsidRPr="00986B73">
        <w:rPr>
          <w:rFonts w:ascii="Arial" w:hAnsi="Arial" w:cs="Arial"/>
          <w:b/>
        </w:rPr>
        <w:t>procedimiento de urgencia</w:t>
      </w:r>
      <w:r w:rsidRPr="00986B73">
        <w:rPr>
          <w:rFonts w:ascii="Arial" w:hAnsi="Arial" w:cs="Arial"/>
        </w:rPr>
        <w:t>.</w:t>
      </w:r>
    </w:p>
    <w:p w14:paraId="5D079970" w14:textId="77777777" w:rsidR="00CF3BFF" w:rsidRDefault="00CF3BFF" w:rsidP="00CF3BFF">
      <w:pPr>
        <w:spacing w:line="360" w:lineRule="auto"/>
        <w:jc w:val="both"/>
        <w:rPr>
          <w:rFonts w:ascii="Arial" w:hAnsi="Arial" w:cs="Arial"/>
        </w:rPr>
      </w:pPr>
    </w:p>
    <w:p w14:paraId="07965521" w14:textId="45F27633" w:rsidR="00CF3BFF" w:rsidRDefault="00CF3BFF" w:rsidP="00CF3BFF">
      <w:pPr>
        <w:spacing w:line="360" w:lineRule="auto"/>
        <w:jc w:val="both"/>
        <w:rPr>
          <w:rFonts w:ascii="Arial" w:hAnsi="Arial" w:cs="Arial"/>
        </w:rPr>
      </w:pPr>
      <w:r>
        <w:rPr>
          <w:rFonts w:ascii="Arial" w:hAnsi="Arial" w:cs="Arial"/>
        </w:rPr>
        <w:t xml:space="preserve">En el Congreso de los Diputados a </w:t>
      </w:r>
      <w:r w:rsidR="002C7583">
        <w:rPr>
          <w:rFonts w:ascii="Arial" w:hAnsi="Arial" w:cs="Arial"/>
        </w:rPr>
        <w:t>11 de noviembre de 2022.</w:t>
      </w:r>
    </w:p>
    <w:p w14:paraId="2D4C74A2" w14:textId="77777777" w:rsidR="00CF3BFF" w:rsidRDefault="00CF3BFF" w:rsidP="00CF3BFF">
      <w:pPr>
        <w:spacing w:line="360" w:lineRule="auto"/>
        <w:jc w:val="both"/>
        <w:rPr>
          <w:rFonts w:ascii="Arial" w:hAnsi="Arial" w:cs="Arial"/>
        </w:rPr>
      </w:pPr>
    </w:p>
    <w:p w14:paraId="692333AE" w14:textId="77777777" w:rsidR="00CF3BFF" w:rsidRDefault="00CF3BFF" w:rsidP="00CF3BFF">
      <w:pPr>
        <w:spacing w:line="360" w:lineRule="auto"/>
        <w:jc w:val="both"/>
        <w:rPr>
          <w:rFonts w:ascii="Arial" w:hAnsi="Arial" w:cs="Arial"/>
        </w:rPr>
      </w:pPr>
    </w:p>
    <w:p w14:paraId="06828955" w14:textId="77777777" w:rsidR="00CF3BFF" w:rsidRDefault="00CF3BFF" w:rsidP="00CF3BFF">
      <w:pPr>
        <w:spacing w:line="360" w:lineRule="auto"/>
        <w:jc w:val="both"/>
        <w:rPr>
          <w:rFonts w:ascii="Arial" w:hAnsi="Arial" w:cs="Arial"/>
        </w:rPr>
      </w:pPr>
    </w:p>
    <w:p w14:paraId="58DB43AA" w14:textId="77777777" w:rsidR="00CF3BFF" w:rsidRDefault="00CF3BFF" w:rsidP="00CF3BFF">
      <w:pPr>
        <w:spacing w:after="0" w:line="360" w:lineRule="auto"/>
        <w:jc w:val="both"/>
        <w:rPr>
          <w:rFonts w:ascii="Arial" w:eastAsia="Times New Roman" w:hAnsi="Arial" w:cs="Times New Roman"/>
          <w:spacing w:val="-2"/>
          <w:sz w:val="24"/>
          <w:szCs w:val="20"/>
          <w:lang w:val="es-ES_tradnl" w:eastAsia="es-ES"/>
        </w:rPr>
      </w:pPr>
    </w:p>
    <w:p w14:paraId="35B92020" w14:textId="77777777" w:rsidR="00865C17" w:rsidRPr="002F4A15" w:rsidRDefault="00865C17" w:rsidP="00865C17">
      <w:pPr>
        <w:spacing w:after="0" w:line="360" w:lineRule="auto"/>
        <w:jc w:val="both"/>
        <w:rPr>
          <w:rFonts w:ascii="Arial" w:eastAsia="Times New Roman" w:hAnsi="Arial" w:cs="Times New Roman"/>
          <w:spacing w:val="-2"/>
          <w:sz w:val="24"/>
          <w:szCs w:val="20"/>
          <w:lang w:val="es-ES_tradnl" w:eastAsia="es-ES"/>
        </w:rPr>
      </w:pPr>
    </w:p>
    <w:p w14:paraId="53F60A99" w14:textId="77777777" w:rsidR="00865C17" w:rsidRPr="00D92427" w:rsidRDefault="00865C17" w:rsidP="00865C17">
      <w:pPr>
        <w:spacing w:after="0" w:line="360" w:lineRule="auto"/>
        <w:jc w:val="both"/>
        <w:rPr>
          <w:rFonts w:ascii="Arial" w:eastAsia="Times New Roman" w:hAnsi="Arial" w:cs="Times New Roman"/>
          <w:spacing w:val="-2"/>
          <w:sz w:val="20"/>
          <w:szCs w:val="20"/>
          <w:lang w:val="es-ES_tradnl" w:eastAsia="es-ES"/>
        </w:rPr>
      </w:pPr>
      <w:r w:rsidRPr="00D92427">
        <w:rPr>
          <w:rFonts w:ascii="Arial" w:eastAsia="Times New Roman" w:hAnsi="Arial" w:cs="Times New Roman"/>
          <w:spacing w:val="-2"/>
          <w:sz w:val="20"/>
          <w:szCs w:val="20"/>
          <w:lang w:val="es-ES_tradnl" w:eastAsia="es-ES"/>
        </w:rPr>
        <w:t xml:space="preserve">PORTAVOZ </w:t>
      </w:r>
      <w:r w:rsidRPr="00D92427">
        <w:rPr>
          <w:rFonts w:ascii="Arial" w:eastAsia="Times New Roman" w:hAnsi="Arial" w:cs="Times New Roman"/>
          <w:spacing w:val="-2"/>
          <w:sz w:val="20"/>
          <w:szCs w:val="20"/>
          <w:lang w:val="es-ES_tradnl" w:eastAsia="es-ES"/>
        </w:rPr>
        <w:tab/>
      </w:r>
      <w:r>
        <w:rPr>
          <w:rFonts w:ascii="Arial" w:eastAsia="Times New Roman" w:hAnsi="Arial" w:cs="Times New Roman"/>
          <w:spacing w:val="-2"/>
          <w:sz w:val="20"/>
          <w:szCs w:val="20"/>
          <w:lang w:val="es-ES_tradnl" w:eastAsia="es-ES"/>
        </w:rPr>
        <w:tab/>
      </w:r>
      <w:r>
        <w:rPr>
          <w:rFonts w:ascii="Arial" w:eastAsia="Times New Roman" w:hAnsi="Arial" w:cs="Times New Roman"/>
          <w:spacing w:val="-2"/>
          <w:sz w:val="20"/>
          <w:szCs w:val="20"/>
          <w:lang w:val="es-ES_tradnl" w:eastAsia="es-ES"/>
        </w:rPr>
        <w:tab/>
      </w:r>
      <w:r>
        <w:rPr>
          <w:rFonts w:ascii="Arial" w:eastAsia="Times New Roman" w:hAnsi="Arial" w:cs="Times New Roman"/>
          <w:spacing w:val="-2"/>
          <w:sz w:val="20"/>
          <w:szCs w:val="20"/>
          <w:lang w:val="es-ES_tradnl" w:eastAsia="es-ES"/>
        </w:rPr>
        <w:tab/>
      </w:r>
      <w:r>
        <w:rPr>
          <w:rFonts w:ascii="Arial" w:eastAsia="Times New Roman" w:hAnsi="Arial" w:cs="Times New Roman"/>
          <w:spacing w:val="-2"/>
          <w:sz w:val="20"/>
          <w:szCs w:val="20"/>
          <w:lang w:val="es-ES_tradnl" w:eastAsia="es-ES"/>
        </w:rPr>
        <w:tab/>
      </w:r>
      <w:r w:rsidRPr="00D92427">
        <w:rPr>
          <w:rFonts w:ascii="Arial" w:eastAsia="Times New Roman" w:hAnsi="Arial" w:cs="Times New Roman"/>
          <w:spacing w:val="-2"/>
          <w:sz w:val="20"/>
          <w:szCs w:val="20"/>
          <w:lang w:val="es-ES_tradnl" w:eastAsia="es-ES"/>
        </w:rPr>
        <w:t>PORTAVOZ</w:t>
      </w:r>
      <w:r w:rsidRPr="00D92427">
        <w:rPr>
          <w:rFonts w:ascii="Arial" w:eastAsia="Times New Roman" w:hAnsi="Arial" w:cs="Times New Roman"/>
          <w:spacing w:val="-2"/>
          <w:sz w:val="20"/>
          <w:szCs w:val="20"/>
          <w:lang w:val="es-ES_tradnl" w:eastAsia="es-ES"/>
        </w:rPr>
        <w:tab/>
      </w:r>
      <w:r w:rsidRPr="00D92427">
        <w:rPr>
          <w:rFonts w:ascii="Arial" w:eastAsia="Times New Roman" w:hAnsi="Arial" w:cs="Times New Roman"/>
          <w:spacing w:val="-2"/>
          <w:sz w:val="20"/>
          <w:szCs w:val="20"/>
          <w:lang w:val="es-ES_tradnl" w:eastAsia="es-ES"/>
        </w:rPr>
        <w:tab/>
      </w:r>
      <w:r w:rsidRPr="00D92427">
        <w:rPr>
          <w:rFonts w:ascii="Arial" w:eastAsia="Times New Roman" w:hAnsi="Arial" w:cs="Times New Roman"/>
          <w:spacing w:val="-2"/>
          <w:sz w:val="20"/>
          <w:szCs w:val="20"/>
          <w:lang w:val="es-ES_tradnl" w:eastAsia="es-ES"/>
        </w:rPr>
        <w:tab/>
      </w:r>
    </w:p>
    <w:p w14:paraId="210169CC" w14:textId="77777777" w:rsidR="00865C17" w:rsidRDefault="00865C17" w:rsidP="00865C17">
      <w:pPr>
        <w:spacing w:after="0" w:line="360" w:lineRule="auto"/>
        <w:ind w:left="4245" w:hanging="4245"/>
        <w:jc w:val="both"/>
        <w:rPr>
          <w:rFonts w:ascii="Arial" w:eastAsia="Times New Roman" w:hAnsi="Arial" w:cs="Times New Roman"/>
          <w:spacing w:val="-2"/>
          <w:sz w:val="20"/>
          <w:szCs w:val="20"/>
          <w:lang w:val="es-ES_tradnl" w:eastAsia="es-ES"/>
        </w:rPr>
      </w:pPr>
      <w:r w:rsidRPr="00D92427">
        <w:rPr>
          <w:rFonts w:ascii="Arial" w:eastAsia="Times New Roman" w:hAnsi="Arial" w:cs="Times New Roman"/>
          <w:spacing w:val="-2"/>
          <w:sz w:val="20"/>
          <w:szCs w:val="20"/>
          <w:lang w:val="es-ES_tradnl" w:eastAsia="es-ES"/>
        </w:rPr>
        <w:t>GRUPO PARLAMENTARIO SOCIALISTA</w:t>
      </w:r>
      <w:r w:rsidRPr="00D92427">
        <w:rPr>
          <w:rFonts w:ascii="Arial" w:eastAsia="Times New Roman" w:hAnsi="Arial" w:cs="Times New Roman"/>
          <w:spacing w:val="-2"/>
          <w:sz w:val="20"/>
          <w:szCs w:val="20"/>
          <w:lang w:val="es-ES_tradnl" w:eastAsia="es-ES"/>
        </w:rPr>
        <w:tab/>
        <w:t>G</w:t>
      </w:r>
      <w:r>
        <w:rPr>
          <w:rFonts w:ascii="Arial" w:eastAsia="Times New Roman" w:hAnsi="Arial" w:cs="Times New Roman"/>
          <w:spacing w:val="-2"/>
          <w:sz w:val="20"/>
          <w:szCs w:val="20"/>
          <w:lang w:val="es-ES_tradnl" w:eastAsia="es-ES"/>
        </w:rPr>
        <w:t>.</w:t>
      </w:r>
      <w:r w:rsidRPr="00D92427">
        <w:rPr>
          <w:rFonts w:ascii="Arial" w:eastAsia="Times New Roman" w:hAnsi="Arial" w:cs="Times New Roman"/>
          <w:spacing w:val="-2"/>
          <w:sz w:val="20"/>
          <w:szCs w:val="20"/>
          <w:lang w:val="es-ES_tradnl" w:eastAsia="es-ES"/>
        </w:rPr>
        <w:t>P</w:t>
      </w:r>
      <w:r>
        <w:rPr>
          <w:rFonts w:ascii="Arial" w:eastAsia="Times New Roman" w:hAnsi="Arial" w:cs="Times New Roman"/>
          <w:spacing w:val="-2"/>
          <w:sz w:val="20"/>
          <w:szCs w:val="20"/>
          <w:lang w:val="es-ES_tradnl" w:eastAsia="es-ES"/>
        </w:rPr>
        <w:t xml:space="preserve">. </w:t>
      </w:r>
      <w:r w:rsidRPr="00D92427">
        <w:rPr>
          <w:rFonts w:ascii="Arial" w:eastAsia="Times New Roman" w:hAnsi="Arial" w:cs="Times New Roman"/>
          <w:spacing w:val="-2"/>
          <w:sz w:val="20"/>
          <w:szCs w:val="20"/>
          <w:lang w:val="es-ES_tradnl" w:eastAsia="es-ES"/>
        </w:rPr>
        <w:t>CONFEDERAL DE UNIDAS PODEMOS-EN COMÚ PODEM-GALICIA EN COMÚN</w:t>
      </w:r>
    </w:p>
    <w:p w14:paraId="68322221" w14:textId="01AD6596" w:rsidR="00986B73" w:rsidRDefault="00986B73" w:rsidP="00986B73">
      <w:pPr>
        <w:spacing w:line="360" w:lineRule="auto"/>
        <w:jc w:val="both"/>
        <w:rPr>
          <w:rFonts w:ascii="Arial" w:hAnsi="Arial" w:cs="Arial"/>
        </w:rPr>
      </w:pPr>
    </w:p>
    <w:p w14:paraId="741EE3E9" w14:textId="601A593B" w:rsidR="002C7583" w:rsidRDefault="002C7583" w:rsidP="00986B73">
      <w:pPr>
        <w:spacing w:line="360" w:lineRule="auto"/>
        <w:jc w:val="both"/>
        <w:rPr>
          <w:rFonts w:ascii="Arial" w:hAnsi="Arial" w:cs="Arial"/>
        </w:rPr>
      </w:pPr>
    </w:p>
    <w:p w14:paraId="6DDE1974" w14:textId="7C835BFE" w:rsidR="002C7583" w:rsidRDefault="002C7583" w:rsidP="00986B73">
      <w:pPr>
        <w:spacing w:line="360" w:lineRule="auto"/>
        <w:jc w:val="both"/>
        <w:rPr>
          <w:rFonts w:ascii="Arial" w:hAnsi="Arial" w:cs="Arial"/>
        </w:rPr>
      </w:pPr>
    </w:p>
    <w:p w14:paraId="566D0BFE" w14:textId="3071FEB1" w:rsidR="002C7583" w:rsidRDefault="002C7583" w:rsidP="00986B73">
      <w:pPr>
        <w:spacing w:line="360" w:lineRule="auto"/>
        <w:jc w:val="both"/>
        <w:rPr>
          <w:rFonts w:ascii="Arial" w:hAnsi="Arial" w:cs="Arial"/>
        </w:rPr>
      </w:pPr>
    </w:p>
    <w:p w14:paraId="2044A9F7" w14:textId="05391E29" w:rsidR="002C7583" w:rsidRDefault="002C7583" w:rsidP="00986B73">
      <w:pPr>
        <w:spacing w:line="360" w:lineRule="auto"/>
        <w:jc w:val="both"/>
        <w:rPr>
          <w:rFonts w:ascii="Arial" w:hAnsi="Arial" w:cs="Arial"/>
        </w:rPr>
      </w:pPr>
    </w:p>
    <w:p w14:paraId="549862B4" w14:textId="77777777" w:rsidR="002C7583" w:rsidRPr="002C7583" w:rsidRDefault="002C7583" w:rsidP="002C7583">
      <w:pPr>
        <w:spacing w:after="0" w:line="240" w:lineRule="auto"/>
        <w:jc w:val="both"/>
        <w:rPr>
          <w:rFonts w:ascii="Arial" w:eastAsia="Times New Roman" w:hAnsi="Arial" w:cs="Arial"/>
          <w:b/>
          <w:bCs/>
          <w:lang w:eastAsia="es-ES"/>
        </w:rPr>
      </w:pPr>
      <w:r w:rsidRPr="002C7583">
        <w:rPr>
          <w:rFonts w:ascii="Arial" w:eastAsia="Times New Roman" w:hAnsi="Arial" w:cs="Arial"/>
          <w:b/>
          <w:bCs/>
          <w:lang w:eastAsia="es-ES"/>
        </w:rPr>
        <w:lastRenderedPageBreak/>
        <w:t xml:space="preserve">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w:t>
      </w:r>
    </w:p>
    <w:p w14:paraId="6C42DD94" w14:textId="7800E5F7" w:rsidR="002C7583" w:rsidRPr="002C7583" w:rsidRDefault="002C7583" w:rsidP="002C7583">
      <w:pPr>
        <w:spacing w:after="0" w:line="240" w:lineRule="auto"/>
        <w:jc w:val="both"/>
        <w:rPr>
          <w:rFonts w:ascii="Arial" w:eastAsia="Times New Roman" w:hAnsi="Arial" w:cs="Arial"/>
          <w:b/>
          <w:bCs/>
          <w:lang w:eastAsia="es-ES"/>
        </w:rPr>
      </w:pPr>
    </w:p>
    <w:p w14:paraId="5C3B5972" w14:textId="77777777" w:rsidR="002C7583" w:rsidRPr="002C7583" w:rsidRDefault="002C7583" w:rsidP="002C7583">
      <w:pPr>
        <w:spacing w:after="0" w:line="240" w:lineRule="auto"/>
        <w:jc w:val="both"/>
        <w:rPr>
          <w:rFonts w:ascii="Arial" w:eastAsia="Times New Roman" w:hAnsi="Arial" w:cs="Arial"/>
          <w:b/>
          <w:bCs/>
          <w:lang w:eastAsia="es-ES"/>
        </w:rPr>
      </w:pPr>
    </w:p>
    <w:p w14:paraId="6BE34CCB" w14:textId="0CBD2792" w:rsidR="002C7583" w:rsidRPr="002C7583" w:rsidRDefault="002C7583" w:rsidP="002C7583">
      <w:pPr>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EXPOSICIÓN DE MOTIVOS</w:t>
      </w:r>
    </w:p>
    <w:p w14:paraId="0A05F48C" w14:textId="4FA3D1DF" w:rsidR="002C7583" w:rsidRDefault="002C7583" w:rsidP="002C7583">
      <w:pPr>
        <w:spacing w:after="0" w:line="240" w:lineRule="auto"/>
        <w:jc w:val="center"/>
        <w:rPr>
          <w:rFonts w:ascii="Arial" w:eastAsia="Times New Roman" w:hAnsi="Arial" w:cs="Arial"/>
          <w:lang w:eastAsia="es-ES"/>
        </w:rPr>
      </w:pPr>
    </w:p>
    <w:p w14:paraId="5AB73CF0" w14:textId="77777777" w:rsidR="002C7583" w:rsidRPr="002C7583" w:rsidRDefault="002C7583" w:rsidP="002C7583">
      <w:pPr>
        <w:spacing w:after="0" w:line="240" w:lineRule="auto"/>
        <w:jc w:val="center"/>
        <w:rPr>
          <w:rFonts w:ascii="Arial" w:eastAsia="Times New Roman" w:hAnsi="Arial" w:cs="Arial"/>
          <w:lang w:eastAsia="es-ES"/>
        </w:rPr>
      </w:pPr>
    </w:p>
    <w:p w14:paraId="21834872" w14:textId="77777777" w:rsidR="002C7583" w:rsidRPr="002C7583" w:rsidRDefault="002C7583" w:rsidP="002C7583">
      <w:pPr>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I</w:t>
      </w:r>
    </w:p>
    <w:p w14:paraId="447F0FFC" w14:textId="77777777" w:rsidR="002C7583" w:rsidRPr="002C7583" w:rsidRDefault="002C7583" w:rsidP="002C7583">
      <w:pPr>
        <w:spacing w:after="0" w:line="240" w:lineRule="auto"/>
        <w:jc w:val="both"/>
        <w:rPr>
          <w:rFonts w:ascii="Arial" w:eastAsia="Times New Roman" w:hAnsi="Arial" w:cs="Arial"/>
          <w:lang w:eastAsia="es-ES"/>
        </w:rPr>
      </w:pPr>
    </w:p>
    <w:p w14:paraId="599516D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legislación penal constituye un ámbito jurídico clave para fundamentar las bases de un Estado de Derecho. </w:t>
      </w:r>
    </w:p>
    <w:p w14:paraId="4799AC84" w14:textId="77777777" w:rsidR="002C7583" w:rsidRPr="002C7583" w:rsidRDefault="002C7583" w:rsidP="002C7583">
      <w:pPr>
        <w:spacing w:after="0" w:line="240" w:lineRule="auto"/>
        <w:jc w:val="both"/>
        <w:rPr>
          <w:rFonts w:ascii="Arial" w:eastAsia="Times New Roman" w:hAnsi="Arial" w:cs="Arial"/>
          <w:lang w:eastAsia="es-ES"/>
        </w:rPr>
      </w:pPr>
    </w:p>
    <w:p w14:paraId="6D7C143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El artículo primero de la Constitución Española de 1978 establece que “España se constituye en un Estado social y democrático de Derecho, que propugna como valores superiores de su ordenamiento jurídico la libertad, la justicia, la igualdad y el pluralismo político”.</w:t>
      </w:r>
    </w:p>
    <w:p w14:paraId="4C1FD6F9" w14:textId="77777777" w:rsidR="002C7583" w:rsidRPr="002C7583" w:rsidRDefault="002C7583" w:rsidP="002C7583">
      <w:pPr>
        <w:spacing w:after="0" w:line="240" w:lineRule="auto"/>
        <w:jc w:val="both"/>
        <w:rPr>
          <w:rFonts w:ascii="Arial" w:eastAsia="Times New Roman" w:hAnsi="Arial" w:cs="Arial"/>
          <w:lang w:eastAsia="es-ES"/>
        </w:rPr>
      </w:pPr>
    </w:p>
    <w:p w14:paraId="7C86DE6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La plena vigencia de los valores constitucionales, la calidad de nuestra democracia y la convivencia misma, dependen en buena medida de la aplicación de una legislación penal coherente con aquellos principios, actualizada y eficaz.</w:t>
      </w:r>
    </w:p>
    <w:p w14:paraId="5D0F0E5A" w14:textId="77777777" w:rsidR="002C7583" w:rsidRPr="002C7583" w:rsidRDefault="002C7583" w:rsidP="002C7583">
      <w:pPr>
        <w:spacing w:after="0" w:line="240" w:lineRule="auto"/>
        <w:jc w:val="both"/>
        <w:rPr>
          <w:rFonts w:ascii="Arial" w:eastAsia="Times New Roman" w:hAnsi="Arial" w:cs="Arial"/>
          <w:lang w:eastAsia="es-ES"/>
        </w:rPr>
      </w:pPr>
    </w:p>
    <w:p w14:paraId="25A6732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La presente Proposición de Ley pretende afrontar algunos de los retos pendientes en la legislación penal española, en relación con ciertos tipos y penas que la evolución social, la experiencia y el derecho comparado invitan a revisar desde hace mucho tiempo.</w:t>
      </w:r>
    </w:p>
    <w:p w14:paraId="7D9B8A0F" w14:textId="77777777" w:rsidR="002C7583" w:rsidRPr="002C7583" w:rsidRDefault="002C7583" w:rsidP="002C7583">
      <w:pPr>
        <w:spacing w:after="0" w:line="240" w:lineRule="auto"/>
        <w:jc w:val="both"/>
        <w:rPr>
          <w:rFonts w:ascii="Arial" w:eastAsia="Times New Roman" w:hAnsi="Arial" w:cs="Arial"/>
          <w:lang w:eastAsia="es-ES"/>
        </w:rPr>
      </w:pPr>
    </w:p>
    <w:p w14:paraId="530C4FD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Algunos de esos tipos y penas presentes en nuestra legislación penal responden aún a realidades sociales y configuraciones doctrinales propias de hace dos siglos. Es tiempo ya, por tanto, para que el ordenamiento jurídico español actualice ciertas definiciones, en cuanto a los comportamientos delictivos y a las respuestas adecuadas en las sociedades del siglo XXI.</w:t>
      </w:r>
    </w:p>
    <w:p w14:paraId="1A5EF432" w14:textId="77777777" w:rsidR="002C7583" w:rsidRPr="002C7583" w:rsidRDefault="002C7583" w:rsidP="002C7583">
      <w:pPr>
        <w:spacing w:after="0" w:line="240" w:lineRule="auto"/>
        <w:jc w:val="both"/>
        <w:rPr>
          <w:rFonts w:ascii="Arial" w:eastAsia="Times New Roman" w:hAnsi="Arial" w:cs="Arial"/>
          <w:lang w:eastAsia="es-ES"/>
        </w:rPr>
      </w:pPr>
    </w:p>
    <w:p w14:paraId="47CAF1E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Es preciso aportar calidad, claridad y modernidad en algunos ámbitos de la legislación penal española que presentan problemas evidentes de indeterminación y obsolescencia. El mandato de certeza propio del principio de legalidad penal requiere una actuación insoslayable e inaplazable al respecto.</w:t>
      </w:r>
    </w:p>
    <w:p w14:paraId="4FAE757E" w14:textId="77777777" w:rsidR="002C7583" w:rsidRPr="002C7583" w:rsidRDefault="002C7583" w:rsidP="002C7583">
      <w:pPr>
        <w:spacing w:after="0" w:line="240" w:lineRule="auto"/>
        <w:jc w:val="both"/>
        <w:rPr>
          <w:rFonts w:ascii="Arial" w:eastAsia="Times New Roman" w:hAnsi="Arial" w:cs="Arial"/>
          <w:lang w:eastAsia="es-ES"/>
        </w:rPr>
      </w:pPr>
    </w:p>
    <w:p w14:paraId="72DE4F6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Por otra parte, España forma parte de las instituciones europeas y comparte propósitos y tareas de coordinación crecientes en materia judicial y de seguridad. La armonización de nuestra legislación penal con los estándares más claramente asentados en la doctrina y en la práctica jurídica de los países de la Unión Europea constituye una obligación incontestable, en consecuencia.</w:t>
      </w:r>
    </w:p>
    <w:p w14:paraId="5599A43F" w14:textId="77777777" w:rsidR="002C7583" w:rsidRPr="002C7583" w:rsidRDefault="002C7583" w:rsidP="002C7583">
      <w:pPr>
        <w:spacing w:after="0" w:line="240" w:lineRule="auto"/>
        <w:jc w:val="both"/>
        <w:rPr>
          <w:rFonts w:ascii="Arial" w:eastAsia="Times New Roman" w:hAnsi="Arial" w:cs="Arial"/>
          <w:lang w:eastAsia="es-ES"/>
        </w:rPr>
      </w:pPr>
    </w:p>
    <w:p w14:paraId="023EDFC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presencia en nuestro ordenamiento de tipos penales inexistentes en la mayoría de los Estados integrantes de la Unión Europea, o la vigencia de penas desproporcionadas </w:t>
      </w:r>
      <w:r w:rsidRPr="002C7583">
        <w:rPr>
          <w:rFonts w:ascii="Arial" w:eastAsia="Times New Roman" w:hAnsi="Arial" w:cs="Arial"/>
          <w:lang w:eastAsia="es-ES"/>
        </w:rPr>
        <w:lastRenderedPageBreak/>
        <w:t>en relación a las que se aplican en los países vecinos, resulta altamente disfuncional en lo relativo al funcionamiento de la mencionada cooperación judicial y de seguridad.</w:t>
      </w:r>
    </w:p>
    <w:p w14:paraId="411B956F" w14:textId="77777777" w:rsidR="002C7583" w:rsidRPr="002C7583" w:rsidRDefault="002C7583" w:rsidP="002C7583">
      <w:pPr>
        <w:spacing w:after="0" w:line="240" w:lineRule="auto"/>
        <w:jc w:val="both"/>
        <w:rPr>
          <w:rFonts w:ascii="Arial" w:eastAsia="Times New Roman" w:hAnsi="Arial" w:cs="Arial"/>
          <w:lang w:eastAsia="es-ES"/>
        </w:rPr>
      </w:pPr>
    </w:p>
    <w:p w14:paraId="5A40896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Esta Proposición de Ley busca dar solución a buena parte de estas dificultades y desafíos.</w:t>
      </w:r>
    </w:p>
    <w:p w14:paraId="78E35F12" w14:textId="77777777" w:rsidR="002C7583" w:rsidRPr="002C7583" w:rsidRDefault="002C7583" w:rsidP="002C7583">
      <w:pPr>
        <w:spacing w:after="0" w:line="240" w:lineRule="auto"/>
        <w:jc w:val="both"/>
        <w:rPr>
          <w:rFonts w:ascii="Arial" w:eastAsia="Times New Roman" w:hAnsi="Arial" w:cs="Arial"/>
          <w:lang w:eastAsia="es-ES"/>
        </w:rPr>
      </w:pPr>
    </w:p>
    <w:p w14:paraId="45C33A0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En tal sentido, el Código Penal, tal y como señala la Exposición de Motivos de la Ley Orgánica 10/1995, de 23 de noviembre, ha de tutelar los valores y principios básicos de la convivencia social. Cuando esos valores y principios cambian, es preciso actualizar su contenido para que pueda seguir cumpliendo su labor social.</w:t>
      </w:r>
    </w:p>
    <w:p w14:paraId="6D956452" w14:textId="77777777" w:rsidR="002C7583" w:rsidRPr="002C7583" w:rsidRDefault="002C7583" w:rsidP="002C7583">
      <w:pPr>
        <w:spacing w:after="0" w:line="240" w:lineRule="auto"/>
        <w:jc w:val="both"/>
        <w:rPr>
          <w:rFonts w:ascii="Arial" w:eastAsia="Times New Roman" w:hAnsi="Arial" w:cs="Arial"/>
          <w:lang w:eastAsia="es-ES"/>
        </w:rPr>
      </w:pPr>
    </w:p>
    <w:p w14:paraId="173698D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El devenir social, la incardinación de nuestro país en la Unión Europea y la pertenencia a determinados organismos internacionales que marcan pautas de actuación, no sólo en la represión de las conductas delictivas sino en el respeto a los derechos fundamentales como límite de actuación de los poderes públicos, exigen una modificación de determinados tipos penales, posibilitando así seguir contando con un Código Penal que responde al tiempo en que la sociedad se halla y da una respuesta actual, segura y propia de un Estado de Derecho como el nuestro a nuevas formas delictivas o a la evolución de otras ya existentes.</w:t>
      </w:r>
    </w:p>
    <w:p w14:paraId="24919405" w14:textId="77777777" w:rsidR="002C7583" w:rsidRPr="002C7583" w:rsidRDefault="002C7583" w:rsidP="002C7583">
      <w:pPr>
        <w:spacing w:after="0" w:line="240" w:lineRule="auto"/>
        <w:jc w:val="both"/>
        <w:rPr>
          <w:rFonts w:ascii="Arial" w:eastAsia="Times New Roman" w:hAnsi="Arial" w:cs="Arial"/>
          <w:lang w:eastAsia="es-ES"/>
        </w:rPr>
      </w:pPr>
    </w:p>
    <w:p w14:paraId="7FE85496" w14:textId="77777777" w:rsidR="002C7583" w:rsidRPr="002C7583" w:rsidRDefault="002C7583" w:rsidP="002C7583">
      <w:pPr>
        <w:spacing w:after="0" w:line="240" w:lineRule="auto"/>
        <w:jc w:val="both"/>
        <w:rPr>
          <w:rFonts w:ascii="Arial" w:eastAsia="Times New Roman" w:hAnsi="Arial" w:cs="Arial"/>
          <w:strike/>
          <w:lang w:eastAsia="es-ES"/>
        </w:rPr>
      </w:pPr>
      <w:r w:rsidRPr="002C7583">
        <w:rPr>
          <w:rFonts w:ascii="Arial" w:eastAsia="Times New Roman" w:hAnsi="Arial" w:cs="Arial"/>
          <w:lang w:eastAsia="es-ES"/>
        </w:rPr>
        <w:t xml:space="preserve">Es por ello que la presente Proposición de Ley Orgánica consta de dos artículos, nueve disposiciones, de las cuales tres son disposiciones transitorias y seis son disposiciones finales. El primer artículo es de modificación de la Ley Orgánica 10/1995, de 23 de noviembre, del Código Penal, con varios apartados sobre diferentes materias, pero todos ellos con el objetivo último de adaptación de nuestro ordenamiento a la normativa europea o de modernización del mismo ante las nuevas realidades sociales. El segundo, de modificación de la Ley Orgánica 12/1995, de 12 de diciembre, de Represión del Contrabando para reforzar la sanción de armas de doble uso.  </w:t>
      </w:r>
    </w:p>
    <w:p w14:paraId="0F01F75B" w14:textId="77777777" w:rsidR="002C7583" w:rsidRPr="002C7583" w:rsidRDefault="002C7583" w:rsidP="002C7583">
      <w:pPr>
        <w:spacing w:after="0" w:line="240" w:lineRule="auto"/>
        <w:jc w:val="both"/>
        <w:rPr>
          <w:rFonts w:ascii="Arial" w:eastAsia="Times New Roman" w:hAnsi="Arial" w:cs="Arial"/>
          <w:lang w:eastAsia="es-ES"/>
        </w:rPr>
      </w:pPr>
    </w:p>
    <w:p w14:paraId="597B111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En primer lugar, esta Proposición de Ley responde a la necesidad de transposición de determinadas Directivas cuya introducción en el Derecho español es urgente. En este sentido, de acuerdo con el principio de cooperación leal, consagrado en el artículo 4.3 del Tratado de la Unión Europea, el cumplimiento de los plazos para la transposición de directivas europeas constituye uno de los principales objetivos que condicionan el diseño de la política legislativa de un Estado miembro. Tal obligación se ha intensificado al constituir en la actualidad uno de los objetivos prioritarios del Consejo Europeo. En el escenario diseñado por el Tratado de Lisboa, la Unión Europea fija como una de sus principales prioridades la construcción del Espacio de Libertad, Seguridad y Justicia en el que, entre otros fines, esté garantizada la adopción de medidas adecuadas para la prevención y la lucha contra la delincuencia. </w:t>
      </w:r>
    </w:p>
    <w:p w14:paraId="614B4737" w14:textId="77777777" w:rsidR="002C7583" w:rsidRPr="002C7583" w:rsidRDefault="002C7583" w:rsidP="002C7583">
      <w:pPr>
        <w:spacing w:after="0" w:line="240" w:lineRule="auto"/>
        <w:jc w:val="both"/>
        <w:rPr>
          <w:rFonts w:ascii="Arial" w:eastAsia="Times New Roman" w:hAnsi="Arial" w:cs="Arial"/>
          <w:lang w:eastAsia="es-ES"/>
        </w:rPr>
      </w:pPr>
    </w:p>
    <w:p w14:paraId="1FF7FB19"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Mediante un itinerario de convergencia y armonización y al amparo del principio general de subsidiariedad reconocido en el artículo 5 del Tratado de la Unión Europea, se establece una serie de «reglas mínimas comunes» para determinados segmentos del Derecho penal especial, los denominados «</w:t>
      </w:r>
      <w:proofErr w:type="spellStart"/>
      <w:r w:rsidRPr="002C7583">
        <w:rPr>
          <w:rFonts w:ascii="Arial" w:eastAsia="Times New Roman" w:hAnsi="Arial" w:cs="Arial"/>
          <w:lang w:eastAsia="es-ES"/>
        </w:rPr>
        <w:t>eurodelitos</w:t>
      </w:r>
      <w:proofErr w:type="spellEnd"/>
      <w:r w:rsidRPr="002C7583">
        <w:rPr>
          <w:rFonts w:ascii="Arial" w:eastAsia="Times New Roman" w:hAnsi="Arial" w:cs="Arial"/>
          <w:lang w:eastAsia="es-ES"/>
        </w:rPr>
        <w:t xml:space="preserve">», siendo aquellos de especial gravedad que tengan una dimensión transfronteriza, incluida la falsificación de medios de pago y la delincuencia informática. Ello implica la necesidad de una ajustada y </w:t>
      </w:r>
      <w:r w:rsidRPr="002C7583">
        <w:rPr>
          <w:rFonts w:ascii="Arial" w:eastAsia="Times New Roman" w:hAnsi="Arial" w:cs="Arial"/>
          <w:lang w:eastAsia="es-ES"/>
        </w:rPr>
        <w:lastRenderedPageBreak/>
        <w:t>diligente transposición al ordenamiento jurídico español, en concreto, de diversas directivas que afectan al ámbito penal sustantivo. Tal es el caso, en primer lugar, de la Directiva (UE) 2019/713 del Parlamento Europeo y del Consejo, de 17 de abril de 2019, sobre la lucha contra el fraude y la falsificación de medios de pago distintos del efectivo y por la que se sustituye la Decisión Marco 2001/413/JAI del Consejo. Asimismo, se perfecciona la transposición de la Directiva 2014/57/UE del Parlamento Europeo y del Consejo, de 16 de abril de 2014, sobre las sanciones penales aplicables al abuso de mercado.</w:t>
      </w:r>
    </w:p>
    <w:p w14:paraId="0768BA10" w14:textId="77777777" w:rsidR="002C7583" w:rsidRPr="002C7583" w:rsidRDefault="002C7583" w:rsidP="002C7583">
      <w:pPr>
        <w:spacing w:after="0" w:line="240" w:lineRule="auto"/>
        <w:jc w:val="both"/>
        <w:rPr>
          <w:rFonts w:ascii="Arial" w:eastAsia="Times New Roman" w:hAnsi="Arial" w:cs="Arial"/>
          <w:lang w:eastAsia="es-ES"/>
        </w:rPr>
      </w:pPr>
    </w:p>
    <w:p w14:paraId="57B6B25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La Directiva (UE) 2019/713 del Parlamento Europeo y del Consejo, de 17 de abril de 2019, sobre la lucha contra el fraude y la falsificación de medios de pago distintos del efectivo y por la que se sustituye la Decisión Marco 2001/413/JAI del Consejo, se inserta dentro de la línea de la política criminal europea de lucha contra la criminalidad organizada, ámbito en el que los instrumentos de pago no dinerarios se han articulado como un medio para facilitar la obtención y blanqueo de las ganancias obtenidas con dichas acciones delictivas. Al mismo tiempo, el fraude y la falsificación de medios de pago distintos del efectivo, representan un obstáculo para el mercado único digital, ya que socavan la confianza de los consumidores y provocan pérdidas económicas directas, con especial incidencia en el ámbito transnacional.</w:t>
      </w:r>
    </w:p>
    <w:p w14:paraId="16E43B67" w14:textId="77777777" w:rsidR="002C7583" w:rsidRPr="002C7583" w:rsidRDefault="002C7583" w:rsidP="002C7583">
      <w:pPr>
        <w:spacing w:after="0" w:line="240" w:lineRule="auto"/>
        <w:jc w:val="both"/>
        <w:rPr>
          <w:rFonts w:ascii="Arial" w:eastAsia="Times New Roman" w:hAnsi="Arial" w:cs="Arial"/>
          <w:lang w:eastAsia="es-ES"/>
        </w:rPr>
      </w:pPr>
    </w:p>
    <w:p w14:paraId="4CC78DB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directiva persigue también ser un complemento y refuerzo, en la esfera digital, de la Directiva 2013/40/UE del Parlamento Europeo y del Consejo, de 12 de agosto de 2013, relativa a los ataques contra los sistemas de información que fue objeto de transposición a nuestro ordenamiento mediante Ley Orgánica 1/2015, de 30 de marzo, por la que se modifica el Código Penal, al abordar un aspecto diferente de la ciberdelincuencia. En este caso, específicamente en los artículos 197 bis y ter, se trató de la tipificación de las interferencias en los sistemas de información –no de las transmisiones personales, que ya estaban tipificadas–, así como la facilitación o la producción de programas informáticos o equipos específicamente diseñados o adaptados para la comisión de estos delitos, además de los supuestos de daños informáticos en los artículos 264 a 264 ter. </w:t>
      </w:r>
    </w:p>
    <w:p w14:paraId="1E93D71C" w14:textId="77777777" w:rsidR="002C7583" w:rsidRPr="002C7583" w:rsidRDefault="002C7583" w:rsidP="002C7583">
      <w:pPr>
        <w:spacing w:after="0" w:line="240" w:lineRule="auto"/>
        <w:jc w:val="both"/>
        <w:rPr>
          <w:rFonts w:ascii="Arial" w:eastAsia="Times New Roman" w:hAnsi="Arial" w:cs="Arial"/>
          <w:lang w:eastAsia="es-ES"/>
        </w:rPr>
      </w:pPr>
    </w:p>
    <w:p w14:paraId="28B000CD"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Igualmente, la presente directiva se complementa con la norma de transposición de la Directiva 2014/62/UE del Parlamento Europeo y del Consejo, de 15 de mayo de 2014, relativa a la protección penal del euro y otras monedas frente a la falsificación, y por la que se sustituye la Decisión marco 2000/383/JAI del Consejo  , efectuada en los artículos 386 y 387 del Código Penal mediante la Ley Orgánica 1/2019, de 20 de febrero, por la que se modifica la Ley Orgánica 10/1995, de 23 de noviembre, del Código Penal, para transponer Directivas de la Unión Europea en los ámbitos financiero y de terrorismo, y abordar cuestiones de índole internacional.</w:t>
      </w:r>
    </w:p>
    <w:p w14:paraId="031B71B9" w14:textId="77777777" w:rsidR="002C7583" w:rsidRPr="002C7583" w:rsidRDefault="002C7583" w:rsidP="002C7583">
      <w:pPr>
        <w:spacing w:after="0" w:line="240" w:lineRule="auto"/>
        <w:jc w:val="both"/>
        <w:rPr>
          <w:rFonts w:ascii="Arial" w:eastAsia="Times New Roman" w:hAnsi="Arial" w:cs="Arial"/>
          <w:lang w:eastAsia="es-ES"/>
        </w:rPr>
      </w:pPr>
    </w:p>
    <w:p w14:paraId="4EE670F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relevancia de los delitos informáticos ha sufrido un crecimiento exponencial a lo largo de los años, como consecuencia del incremento del denominado ciberespacio y el consecuente aumento de la </w:t>
      </w:r>
      <w:proofErr w:type="spellStart"/>
      <w:r w:rsidRPr="002C7583">
        <w:rPr>
          <w:rFonts w:ascii="Arial" w:eastAsia="Times New Roman" w:hAnsi="Arial" w:cs="Arial"/>
          <w:lang w:eastAsia="es-ES"/>
        </w:rPr>
        <w:t>ciberpoblación</w:t>
      </w:r>
      <w:proofErr w:type="spellEnd"/>
      <w:r w:rsidRPr="002C7583">
        <w:rPr>
          <w:rFonts w:ascii="Arial" w:eastAsia="Times New Roman" w:hAnsi="Arial" w:cs="Arial"/>
          <w:lang w:eastAsia="es-ES"/>
        </w:rPr>
        <w:t xml:space="preserve"> en el ámbito de Internet. Así, si bien es cierto que España no ha culminado actualmente la trasposición de la directiva, hay que señalar que las estrategias seguidas por el legislador a lo largo de este largo proceso de desarrollo tecnológico han sido entre otras la introducción de figuras penales paralelas </w:t>
      </w:r>
      <w:r w:rsidRPr="002C7583">
        <w:rPr>
          <w:rFonts w:ascii="Arial" w:eastAsia="Times New Roman" w:hAnsi="Arial" w:cs="Arial"/>
          <w:lang w:eastAsia="es-ES"/>
        </w:rPr>
        <w:lastRenderedPageBreak/>
        <w:t>a las tradicionales, en las que se incorpora a cada tipo el equivalente mediante el uso de nuevas tecnologías. De este modo, se han ido cubriendo poco a poco las lagunas de punibilidad, que han ido poniendo de manifiesto la jurisprudencia según surgían nuevas modalidades de comisión de esta clase delitos.</w:t>
      </w:r>
    </w:p>
    <w:p w14:paraId="79898F3F" w14:textId="77777777" w:rsidR="002C7583" w:rsidRPr="002C7583" w:rsidRDefault="002C7583" w:rsidP="002C7583">
      <w:pPr>
        <w:spacing w:after="0" w:line="240" w:lineRule="auto"/>
        <w:jc w:val="both"/>
        <w:rPr>
          <w:rFonts w:ascii="Arial" w:eastAsia="Times New Roman" w:hAnsi="Arial" w:cs="Arial"/>
          <w:lang w:eastAsia="es-ES"/>
        </w:rPr>
      </w:pPr>
    </w:p>
    <w:p w14:paraId="2D4965F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Ello facilita la integración, de una manera armónica, de las exigencias normativas derivadas de la Directiva (UE) 2019/713, de 17 de abril, en el texto del vigente Código Penal.</w:t>
      </w:r>
    </w:p>
    <w:p w14:paraId="73D974CB" w14:textId="77777777" w:rsidR="002C7583" w:rsidRPr="002C7583" w:rsidRDefault="002C7583" w:rsidP="002C7583">
      <w:pPr>
        <w:spacing w:after="0" w:line="240" w:lineRule="auto"/>
        <w:jc w:val="both"/>
        <w:rPr>
          <w:rFonts w:ascii="Arial" w:eastAsia="Times New Roman" w:hAnsi="Arial" w:cs="Arial"/>
          <w:lang w:eastAsia="es-ES"/>
        </w:rPr>
      </w:pPr>
    </w:p>
    <w:p w14:paraId="7862753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directiva, sin embargo, se centra en una regulación conjunta del fraude y de la falsificación de los medios de pago distintos del efectivo, alejándose de la sistemática clásica de nuestro Código Penal, que atiende prioritariamente a los diferentes bienes jurídicos tutelados o puestos en peligro, tales como el patrimonio, la seguridad del tráfico o la fe pública y no al concreto modo de comisión. Al propio tiempo otorga especial relevancia a los medios de pago inmateriales, y entre ellos, los soportes digitales de intercambio. Estos han de ser entendidos como aquellos que permiten efectuar transferencias de dinero electrónico, de monedas virtuales y otros </w:t>
      </w:r>
      <w:proofErr w:type="spellStart"/>
      <w:r w:rsidRPr="002C7583">
        <w:rPr>
          <w:rFonts w:ascii="Arial" w:eastAsia="Times New Roman" w:hAnsi="Arial" w:cs="Arial"/>
          <w:lang w:eastAsia="es-ES"/>
        </w:rPr>
        <w:t>criptoactivos</w:t>
      </w:r>
      <w:proofErr w:type="spellEnd"/>
      <w:r w:rsidRPr="002C7583">
        <w:rPr>
          <w:rFonts w:ascii="Arial" w:eastAsia="Times New Roman" w:hAnsi="Arial" w:cs="Arial"/>
          <w:lang w:eastAsia="es-ES"/>
        </w:rPr>
        <w:t xml:space="preserve">, ahora bien, en estos dos últimos casos, solo en la medida en que puedan usarse de manera habitual para efectuar pagos. Por ello, es palmario que el ámbito de protección que ofrece esta reforma se extiende a las monedas de carácter virtual. Por ello, y a fin de cumplir con el principio de taxatividad propio del Derecho penal, se ha procedido a incluir una cláusula de interpretación auténtica de tales conceptos. Quedan incluidos, por tanto, todos los instrumentos de pago distintos del efectivo, incluidas las monedas virtuales y otros </w:t>
      </w:r>
      <w:proofErr w:type="spellStart"/>
      <w:r w:rsidRPr="002C7583">
        <w:rPr>
          <w:rFonts w:ascii="Arial" w:eastAsia="Times New Roman" w:hAnsi="Arial" w:cs="Arial"/>
          <w:lang w:eastAsia="es-ES"/>
        </w:rPr>
        <w:t>criptoactivos</w:t>
      </w:r>
      <w:proofErr w:type="spellEnd"/>
      <w:r w:rsidRPr="002C7583">
        <w:rPr>
          <w:rFonts w:ascii="Arial" w:eastAsia="Times New Roman" w:hAnsi="Arial" w:cs="Arial"/>
          <w:lang w:eastAsia="es-ES"/>
        </w:rPr>
        <w:t xml:space="preserve"> que se utilicen como medio de pago y los monederos electrónicos en una definición lo suficientemente abierta como para permitir la flexibilidad necesaria para adecuarse a los rápidos avances tecnológicos.</w:t>
      </w:r>
    </w:p>
    <w:p w14:paraId="7436FD44" w14:textId="77777777" w:rsidR="002C7583" w:rsidRPr="002C7583" w:rsidRDefault="002C7583" w:rsidP="002C7583">
      <w:pPr>
        <w:spacing w:after="0" w:line="240" w:lineRule="auto"/>
        <w:jc w:val="both"/>
        <w:rPr>
          <w:rFonts w:ascii="Arial" w:eastAsia="Times New Roman" w:hAnsi="Arial" w:cs="Arial"/>
          <w:lang w:eastAsia="es-ES"/>
        </w:rPr>
      </w:pPr>
    </w:p>
    <w:p w14:paraId="7C9F0E8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Manteniendo la sistemática de nuestro Código Penal, se ha optado por explicitar todas las conductas cuya tipificación autónoma exige la directiva, bien vinculándolas al ámbito de la estafa (fraude en la denominación de la directiva), esencialmente cuando los medios de pago han sido obtenidos de forma ilícita, bien al de las falsedades (falsificación o alteración fraudulenta en la denominación de la directiva), incluyendo en estos casos tanto la falsificación como su uso fraudulento. Igualmente se tipifican de forma autónoma los actos preparatorios para la comisión de tales conductas.</w:t>
      </w:r>
    </w:p>
    <w:p w14:paraId="7CFCBEAF"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lang w:eastAsia="es-ES"/>
        </w:rPr>
        <w:t xml:space="preserve">                                                                                </w:t>
      </w:r>
      <w:r w:rsidRPr="002C7583">
        <w:rPr>
          <w:rFonts w:ascii="Arial" w:eastAsia="Times New Roman" w:hAnsi="Arial" w:cs="Arial"/>
          <w:b/>
          <w:lang w:eastAsia="es-ES"/>
        </w:rPr>
        <w:t>II</w:t>
      </w:r>
    </w:p>
    <w:p w14:paraId="072C2C99" w14:textId="77777777" w:rsidR="002C7583" w:rsidRPr="002C7583" w:rsidRDefault="002C7583" w:rsidP="002C7583">
      <w:pPr>
        <w:spacing w:after="0" w:line="240" w:lineRule="auto"/>
        <w:jc w:val="both"/>
        <w:rPr>
          <w:rFonts w:ascii="Arial" w:eastAsia="Times New Roman" w:hAnsi="Arial" w:cs="Arial"/>
          <w:lang w:eastAsia="es-ES"/>
        </w:rPr>
      </w:pPr>
    </w:p>
    <w:p w14:paraId="44B7A82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Directiva 2014/57/UE del Parlamento Europeo y del Consejo, de 16 de abril de 2014, sobre las sanciones penales aplicables al abuso de mercado, fue incorporada al ordenamiento jurídico español mediante la Ley Orgánica 1/2019, de 20 de febrero, por la que se modifica la Ley Orgánica 10/1995, de 23 de noviembre, del Código Penal, para transponer directivas de la Unión Europea en los ámbitos financiero y de terrorismo, y abordar cuestiones de índole internacional. </w:t>
      </w:r>
    </w:p>
    <w:p w14:paraId="54BA86FB" w14:textId="77777777" w:rsidR="002C7583" w:rsidRPr="002C7583" w:rsidRDefault="002C7583" w:rsidP="002C7583">
      <w:pPr>
        <w:spacing w:after="0" w:line="240" w:lineRule="auto"/>
        <w:jc w:val="both"/>
        <w:rPr>
          <w:rFonts w:ascii="Arial" w:eastAsia="Times New Roman" w:hAnsi="Arial" w:cs="Arial"/>
          <w:lang w:eastAsia="es-ES"/>
        </w:rPr>
      </w:pPr>
    </w:p>
    <w:p w14:paraId="12D92879"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En el artículo primero de esta ley orgánica se incorpora la modificación del apartado 5 del artículo 285 del Código Penal. El apartado 2 del artículo 7 de la Directiva 2014/57/UE, por conexión con el párrafo segundo del apartado 2 de su artículo 3, exige que los delitos relativos a operaciones con información privilegiada cometidos por sujetos que no tienen </w:t>
      </w:r>
      <w:r w:rsidRPr="002C7583">
        <w:rPr>
          <w:rFonts w:ascii="Arial" w:eastAsia="Times New Roman" w:hAnsi="Arial" w:cs="Arial"/>
          <w:lang w:eastAsia="es-ES"/>
        </w:rPr>
        <w:lastRenderedPageBreak/>
        <w:t xml:space="preserve">acceso reservado a la información privilegiada, al igual que el resto de delitos recogidos en el artículo, se castiguen con penas privativas de libertad cuya duración máxima sea de, al menos, cuatro años. La Ley Orgánica 1/2019, de 20 de febrero, no introdujo, sin embargo, esta previsión. </w:t>
      </w:r>
    </w:p>
    <w:p w14:paraId="2FF262E7" w14:textId="77777777" w:rsidR="002C7583" w:rsidRPr="002C7583" w:rsidRDefault="002C7583" w:rsidP="002C7583">
      <w:pPr>
        <w:spacing w:after="0" w:line="240" w:lineRule="auto"/>
        <w:jc w:val="both"/>
        <w:rPr>
          <w:rFonts w:ascii="Arial" w:eastAsia="Times New Roman" w:hAnsi="Arial" w:cs="Arial"/>
          <w:lang w:eastAsia="es-ES"/>
        </w:rPr>
      </w:pPr>
    </w:p>
    <w:p w14:paraId="00C9138F"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Así, la duración máxima de la pena indicada en este apartado en la actualidad resulta inferior a cuatro años, que es la que exige para estos supuestos la Directiva 2014/57/UE. Es por ello que la presente ley orgánica extiende al apartado 5 del artículo 285 la aplicación de las penas señaladas en el resto del artículo para el tipo general del apartado 1 y el tipo agravado del apartado 3, cuya duración máxima sí supera los cuatro años exigidos por la norma europea.</w:t>
      </w:r>
    </w:p>
    <w:p w14:paraId="3D000E0C" w14:textId="77777777" w:rsidR="002C7583" w:rsidRPr="002C7583" w:rsidRDefault="002C7583" w:rsidP="002C7583">
      <w:pPr>
        <w:spacing w:after="0" w:line="240" w:lineRule="auto"/>
        <w:jc w:val="both"/>
        <w:rPr>
          <w:rFonts w:ascii="Arial" w:eastAsia="Times New Roman" w:hAnsi="Arial" w:cs="Arial"/>
          <w:lang w:eastAsia="es-ES"/>
        </w:rPr>
      </w:pPr>
    </w:p>
    <w:p w14:paraId="4627A592" w14:textId="77777777" w:rsidR="002C7583" w:rsidRPr="002C7583" w:rsidRDefault="002C7583" w:rsidP="002C7583">
      <w:pPr>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III</w:t>
      </w:r>
    </w:p>
    <w:p w14:paraId="7A07B4B7" w14:textId="77777777" w:rsidR="002C7583" w:rsidRPr="002C7583" w:rsidRDefault="002C7583" w:rsidP="002C7583">
      <w:pPr>
        <w:spacing w:after="0" w:line="240" w:lineRule="auto"/>
        <w:jc w:val="both"/>
        <w:rPr>
          <w:rFonts w:ascii="Arial" w:eastAsia="Times New Roman" w:hAnsi="Arial" w:cs="Arial"/>
          <w:lang w:eastAsia="es-ES"/>
        </w:rPr>
      </w:pPr>
    </w:p>
    <w:p w14:paraId="14ACD92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En segundo lugar, mediante esta Proposición de ley se completa la transposición de la Directiva (UE) 2019/1 del Parlamento Europeo y del Consejo, de 11 de diciembre de 2018 encaminada a dotar a las autoridades de competencia de los Estados miembros de medios para aplicar más eficazmente las normas sobre competencia y garantizar el correcto funcionamiento del mercado interior, conocida como Directiva ECN+.</w:t>
      </w:r>
    </w:p>
    <w:p w14:paraId="46136CA2" w14:textId="77777777" w:rsidR="002C7583" w:rsidRPr="002C7583" w:rsidRDefault="002C7583" w:rsidP="002C7583">
      <w:pPr>
        <w:spacing w:after="0" w:line="240" w:lineRule="auto"/>
        <w:jc w:val="both"/>
        <w:rPr>
          <w:rFonts w:ascii="Arial" w:eastAsia="Times New Roman" w:hAnsi="Arial" w:cs="Arial"/>
          <w:lang w:eastAsia="es-ES"/>
        </w:rPr>
      </w:pPr>
    </w:p>
    <w:p w14:paraId="723B56E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Directiva establece determinadas normas para garantizar que las autoridades nacionales de competencia (ANC) dispongan de las garantías de independencia, recursos y competencias de aplicación e imposición de multas, necesarias para poder aplicar efectivamente los artículos 101 y 102 del TFUE, de modo que no se falsee la competencia en el mercado interior y que los consumidores y las empresas no se vean perjudicados por el Derecho y las medidas nacionales que impiden la aplicación eficaz de las normas por parte de las autoridades nacionales de competencia. La implantación de garantías fundamentales que aseguren que las ANC apliquen de manera uniforme y eficaz los artículos 101 y 102 del TFUE lleva a instar a los Estados Miembros a que prevean la exoneración o reducción de la responsabilidad penal de personas que hayan podido cometer un delito relacionado con estas prácticas </w:t>
      </w:r>
      <w:proofErr w:type="spellStart"/>
      <w:r w:rsidRPr="002C7583">
        <w:rPr>
          <w:rFonts w:ascii="Arial" w:eastAsia="Times New Roman" w:hAnsi="Arial" w:cs="Arial"/>
          <w:lang w:eastAsia="es-ES"/>
        </w:rPr>
        <w:t>anticompetencia</w:t>
      </w:r>
      <w:proofErr w:type="spellEnd"/>
      <w:r w:rsidRPr="002C7583">
        <w:rPr>
          <w:rFonts w:ascii="Arial" w:eastAsia="Times New Roman" w:hAnsi="Arial" w:cs="Arial"/>
          <w:lang w:eastAsia="es-ES"/>
        </w:rPr>
        <w:t xml:space="preserve"> y presten cooperación activa en los términos que establece la Directiva. Dice la propia Directiva que, los Estados miembros podrían prever que las autoridades competentes puedan elegir entre la protección a las personas frente a sanciones o solo la atenuación de dichas sanciones, en función del resultado de la evaluación del interés por procesar o por sancionar en función de su contribución a la detección e investigación del cártel. </w:t>
      </w:r>
    </w:p>
    <w:p w14:paraId="69826DEE" w14:textId="77777777" w:rsidR="002C7583" w:rsidRPr="002C7583" w:rsidRDefault="002C7583" w:rsidP="002C7583">
      <w:pPr>
        <w:spacing w:after="0" w:line="240" w:lineRule="auto"/>
        <w:jc w:val="both"/>
        <w:rPr>
          <w:rFonts w:ascii="Arial" w:eastAsia="Times New Roman" w:hAnsi="Arial" w:cs="Arial"/>
          <w:lang w:eastAsia="es-ES"/>
        </w:rPr>
      </w:pPr>
    </w:p>
    <w:p w14:paraId="4BC0275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Directiva se ha traspuesto parcialmente por Real Decreto-ley 7/2021, de 27 de abril, de transposición de directivas de la Unión Europea en las materias de competencia, prevención del blanqueo de capitales, entidades de crédito, telecomunicaciones, medidas tributarias, prevención y reparación de daños medioambientales, desplazamiento de trabajadores en la prestación de servicios transnacionales y defensa de los consumidores. la transposición por este RD ha sido exclusivamente del apartado 1 del art. 23, relativo a procedimientos administrativos. </w:t>
      </w:r>
    </w:p>
    <w:p w14:paraId="25B21351" w14:textId="77777777" w:rsidR="002C7583" w:rsidRPr="002C7583" w:rsidRDefault="002C7583" w:rsidP="002C7583">
      <w:pPr>
        <w:spacing w:after="0" w:line="240" w:lineRule="auto"/>
        <w:jc w:val="both"/>
        <w:rPr>
          <w:rFonts w:ascii="Arial" w:eastAsia="Times New Roman" w:hAnsi="Arial" w:cs="Arial"/>
          <w:lang w:eastAsia="es-ES"/>
        </w:rPr>
      </w:pPr>
    </w:p>
    <w:p w14:paraId="3B9BD4A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El Código Penal español sanciona con penas privativas de libertad conductas subsumibles en los artículos 1 y 2 de la Ley de Defensa de la Competencia: la alteración </w:t>
      </w:r>
      <w:r w:rsidRPr="002C7583">
        <w:rPr>
          <w:rFonts w:ascii="Arial" w:eastAsia="Times New Roman" w:hAnsi="Arial" w:cs="Arial"/>
          <w:lang w:eastAsia="es-ES"/>
        </w:rPr>
        <w:lastRenderedPageBreak/>
        <w:t xml:space="preserve">de precios en concursos y subastas públicas (art. 262 CP), la detracción de materias primas o productos de primera necesidad (art. 281 CP) y la alteración de los precios (art. 284.1º CP). </w:t>
      </w:r>
    </w:p>
    <w:p w14:paraId="643AF146" w14:textId="77777777" w:rsidR="002C7583" w:rsidRPr="002C7583" w:rsidRDefault="002C7583" w:rsidP="002C7583">
      <w:pPr>
        <w:spacing w:after="0" w:line="240" w:lineRule="auto"/>
        <w:jc w:val="both"/>
        <w:rPr>
          <w:rFonts w:ascii="Arial" w:eastAsia="Times New Roman" w:hAnsi="Arial" w:cs="Arial"/>
          <w:lang w:eastAsia="es-ES"/>
        </w:rPr>
      </w:pPr>
    </w:p>
    <w:p w14:paraId="4446F10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El apartado 3 del art 23 de la Directiva ECN+ deja libertad a los Estado Miembros para elegir entre no imponer ninguna sanción en el procedimiento judicial penal o solamente para atenuarla, en la medida en que la contribución de las personas, contemplada en el apartado 2, a la detección e investigación del cártel secreto sea mayor que el interés por el enjuiciamiento o la sanción a estas personas. </w:t>
      </w:r>
    </w:p>
    <w:p w14:paraId="7098A6C0" w14:textId="77777777" w:rsidR="002C7583" w:rsidRPr="002C7583" w:rsidRDefault="002C7583" w:rsidP="002C7583">
      <w:pPr>
        <w:spacing w:after="0" w:line="240" w:lineRule="auto"/>
        <w:jc w:val="both"/>
        <w:rPr>
          <w:rFonts w:ascii="Arial" w:eastAsia="Times New Roman" w:hAnsi="Arial" w:cs="Arial"/>
          <w:lang w:eastAsia="es-ES"/>
        </w:rPr>
      </w:pPr>
    </w:p>
    <w:p w14:paraId="2B42097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Si bien en nuestro ordenamiento jurídico penal las medidas premiales basadas en la colaboración con las autoridades por parte del responsable del delito han sido la rebaja o atenuación de penales, tal precedente no puede llevar, sin más, a una solución simplista de la atenuación. Por el contrario, razones relativas conducen a la exención de la responsabilidad criminal. En concreto: </w:t>
      </w:r>
    </w:p>
    <w:p w14:paraId="1F71DB7F"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a) Los acuerdos restrictivos de la competencia no solo perjudican a los consumidores a través del incremento de precios, la reducción de la producción y calidad de bienes y servicios, sino que también privan a la economía del dinamismo y la innovación que producen las presiones competitivas.</w:t>
      </w:r>
    </w:p>
    <w:p w14:paraId="6DFE52A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b) La política de clemencia supone un mecanismo efectivo y esencial en la lucha contra conductas anticompetitivas. Busca detectar cárteles secretos mediante la denuncia de alguno de sus integrantes: el informante debe ofrecer a la autoridad de competencia información y pruebas útiles que le permitan perseguir el cartel. Por tanto, contribuyen al enjuiciamiento eficiente y la imposición de sanciones a las infracciones más graves del Derecho de la competencia .</w:t>
      </w:r>
    </w:p>
    <w:p w14:paraId="50B4CCD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c) La Directiva ECN+ amplía el ámbito subjetivo de los beneficiarios de clemencia para abarcar tanto a los que pueden ser beneficiarios de la misma como a los que pueden solicitarla. En efecto como regla se entiende por las autoridades de competencia que, salvo que la empresa indique expresamente lo contrario, al solicitar la clemencia lo hace también en beneficio de los directivos partícipes en la conducta. Además, se permite que la persona física pueda solicitar a título particular el beneficio de exención, ya no en nombre de la empresa a la que representa, sino en su propio nombre. El que se establezca en favor de las personas físicas la posibilidad de acudir a la ANC para solicitar, en su propio nombre, el beneficio de la clemencia por su participación en un cártel, tiene una relevancia fundamental y potenciadora, puesto que su efecto inmediato es que la persona física ocupe a título individual el primer puesto en el orden de prioridad del programa de clemencia. </w:t>
      </w:r>
    </w:p>
    <w:p w14:paraId="43244D8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d) Finalmente, la mayoría de los Estados Miembros ha optado por la exención de la responsabilidad criminal para los directivos gestores y otros miembros del personal, presentes y pasados, que acuden a los programas de clemencia. En este sentido, cabe citar Francia (apartado IV artículo L. 420-6-1 del Código de Comercio), Italia (art 31 </w:t>
      </w:r>
      <w:proofErr w:type="spellStart"/>
      <w:r w:rsidRPr="002C7583">
        <w:rPr>
          <w:rFonts w:ascii="Arial" w:eastAsia="Times New Roman" w:hAnsi="Arial" w:cs="Arial"/>
          <w:lang w:eastAsia="es-ES"/>
        </w:rPr>
        <w:t>quater</w:t>
      </w:r>
      <w:proofErr w:type="spellEnd"/>
      <w:r w:rsidRPr="002C7583">
        <w:rPr>
          <w:rFonts w:ascii="Arial" w:eastAsia="Times New Roman" w:hAnsi="Arial" w:cs="Arial"/>
          <w:lang w:eastAsia="es-ES"/>
        </w:rPr>
        <w:t xml:space="preserve"> de la Ley de Competencia), Dinamarca o Eslovenia. En Austria se establece como un supuesto de suspensión del procedimiento por razones de oportunidad (al modo del art 176 del </w:t>
      </w:r>
      <w:proofErr w:type="spellStart"/>
      <w:r w:rsidRPr="002C7583">
        <w:rPr>
          <w:rFonts w:ascii="Arial" w:eastAsia="Times New Roman" w:hAnsi="Arial" w:cs="Arial"/>
          <w:lang w:eastAsia="es-ES"/>
        </w:rPr>
        <w:t>APLECrim</w:t>
      </w:r>
      <w:proofErr w:type="spellEnd"/>
      <w:r w:rsidRPr="002C7583">
        <w:rPr>
          <w:rFonts w:ascii="Arial" w:eastAsia="Times New Roman" w:hAnsi="Arial" w:cs="Arial"/>
          <w:lang w:eastAsia="es-ES"/>
        </w:rPr>
        <w:t xml:space="preserve">). Atendiendo a la finalidad de la Directiva y sus consideraciones sobre los programas de clemencia en cuanto instrumento eficaz para la lucha contra los cárteles secretos y un enjuiciamiento eficiente, quedaba pendiente la transposición del artículo 23 de la misma, para la que se propone en el derecho interno </w:t>
      </w:r>
      <w:r w:rsidRPr="002C7583">
        <w:rPr>
          <w:rFonts w:ascii="Arial" w:eastAsia="Times New Roman" w:hAnsi="Arial" w:cs="Arial"/>
          <w:lang w:eastAsia="es-ES"/>
        </w:rPr>
        <w:lastRenderedPageBreak/>
        <w:t xml:space="preserve">que, cuando se dé una cooperación activa por parte de directivos, gestores y otros miembros del personal, actuales y antiguos, de empresa que participan en cártel secreto, en los términos previstos en la Directiva, la consecuencia debe ser la exoneración de la responsabilidad penal. </w:t>
      </w:r>
    </w:p>
    <w:p w14:paraId="62BEBE3B" w14:textId="77777777" w:rsidR="002C7583" w:rsidRPr="002C7583" w:rsidRDefault="002C7583" w:rsidP="002C7583">
      <w:pPr>
        <w:spacing w:after="0" w:line="240" w:lineRule="auto"/>
        <w:jc w:val="both"/>
        <w:rPr>
          <w:rFonts w:ascii="Arial" w:eastAsia="Times New Roman" w:hAnsi="Arial" w:cs="Arial"/>
          <w:lang w:eastAsia="es-ES"/>
        </w:rPr>
      </w:pPr>
    </w:p>
    <w:p w14:paraId="4A94D23F" w14:textId="77777777" w:rsidR="002C7583" w:rsidRPr="002C7583" w:rsidRDefault="002C7583" w:rsidP="002C7583">
      <w:pPr>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IV</w:t>
      </w:r>
    </w:p>
    <w:p w14:paraId="4A529B8B" w14:textId="77777777" w:rsidR="002C7583" w:rsidRPr="002C7583" w:rsidRDefault="002C7583" w:rsidP="002C7583">
      <w:pPr>
        <w:spacing w:after="0" w:line="240" w:lineRule="auto"/>
        <w:jc w:val="center"/>
        <w:rPr>
          <w:rFonts w:ascii="Arial" w:eastAsia="Times New Roman" w:hAnsi="Arial" w:cs="Arial"/>
          <w:b/>
          <w:lang w:eastAsia="es-ES"/>
        </w:rPr>
      </w:pPr>
    </w:p>
    <w:p w14:paraId="5E260979"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Se modifica también el artículo 173 del Código Penal, con el objetivo de introducir, dentro de los delitos contra la integridad moral, </w:t>
      </w:r>
      <w:r w:rsidRPr="002C7583">
        <w:rPr>
          <w:rFonts w:ascii="Arial" w:eastAsia="Times New Roman" w:hAnsi="Arial" w:cs="Arial"/>
          <w:strike/>
          <w:lang w:eastAsia="es-ES"/>
        </w:rPr>
        <w:t>de</w:t>
      </w:r>
      <w:r w:rsidRPr="002C7583">
        <w:rPr>
          <w:rFonts w:ascii="Arial" w:eastAsia="Times New Roman" w:hAnsi="Arial" w:cs="Arial"/>
          <w:lang w:eastAsia="es-ES"/>
        </w:rPr>
        <w:t xml:space="preserve"> una específica modalidad delictiva en la que se castigue la ocultación del cadáver, atendiendo al sufrimiento que tal conducta puede ocasionar en los familiares o allegados de la persona fallecida, </w:t>
      </w:r>
      <w:r w:rsidRPr="002C7583">
        <w:rPr>
          <w:rFonts w:ascii="Arial" w:eastAsia="Times New Roman" w:hAnsi="Arial" w:cs="Arial"/>
          <w:strike/>
          <w:lang w:eastAsia="es-ES"/>
        </w:rPr>
        <w:t>y</w:t>
      </w:r>
      <w:r w:rsidRPr="002C7583">
        <w:rPr>
          <w:rFonts w:ascii="Arial" w:eastAsia="Times New Roman" w:hAnsi="Arial" w:cs="Arial"/>
          <w:lang w:eastAsia="es-ES"/>
        </w:rPr>
        <w:t xml:space="preserve"> estableciendo una pena agravada con respecto a la prevista en el párrafo primero del art. 173.</w:t>
      </w:r>
    </w:p>
    <w:p w14:paraId="744648F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769F5AF"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Esta modificación obedece a que cuando se produce la muerte de una familiar o allegado, la imposibilidad de disponer del cuerpo para darle las honras fúnebres que nuestras costumbres sociales y religiosas prescriben, supone un dolor añadido que se ve especialmente agravado cuando obedece a la actuación de un tercero que oculta el cadáver deliberadamente. Así, en algunos casos de clara notoriedad en los que los responsables de un homicidio o un asesinato se han negado a revelar el paradero del cadáver de su víctima, incluso cuando ya han sido condenados en firme y cuando, en consecuencia, ningún perjuicio penal podría acarrearles dar razón de su paradero, se produce una acción que causa un daño específico a los familiares y allegados de la víctima y que resulta particularmente reprochable. </w:t>
      </w:r>
    </w:p>
    <w:p w14:paraId="47031F34"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5DD0E58E"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Por ello, resulta necesario que, en estos y otros casos parecidos, el hecho de ocultar el cadáver se castigue penalmente, con independencia de la pena que corresponda, en su caso, por el delito previo que haya ocasionado la muerte, pues se trata de un injusto añadido que merece una respuesta penal diferenciada. Al tratarse de un injusto diferenciado que atenta contra un bien jurídico distinto, el castigo de esta conducta no puede realizarse en el marco de los delitos contra la vida, como el delito de homicidio o el delito de asesinato. </w:t>
      </w:r>
    </w:p>
    <w:p w14:paraId="3203665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77A8EDE"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Por otra parte, hay que tener en cuenta que, debido precisamente a ese carácter diferenciado, el hecho de ocultar el cadáver también puede merecer un reproche penal cuando quien lo lleva a cabo no se ha visto implicado en ningún delito previo contra la vida.</w:t>
      </w:r>
    </w:p>
    <w:p w14:paraId="43C7C45F"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61C555AA"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Tampoco en el Derecho comparado la ocultación del cadáver se regula como modalidad agravada o específica de los delitos contra la vida. Por lo general, tal conducta puede dar lugar a un delito contra la dignidad o el respeto de los muertos (art. 412 CP italiano y 168 CP alemán) o a un delito de obstrucción a la justicia (art. 434-7 CP francés), sin diferenciar en ningún caso en función de si quien comete el delito es a su vez el autor de un previo delito de homicidio o asesinato. </w:t>
      </w:r>
    </w:p>
    <w:p w14:paraId="6A743CD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084ED508"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ocultación del cadáver constituye, más bien, como ha apuntado el propio Tribunal Supremo, un atentado contra la integridad moral de los familiares o allegados, que se </w:t>
      </w:r>
      <w:r w:rsidRPr="002C7583">
        <w:rPr>
          <w:rFonts w:ascii="Arial" w:eastAsia="Times New Roman" w:hAnsi="Arial" w:cs="Arial"/>
          <w:lang w:eastAsia="es-ES"/>
        </w:rPr>
        <w:lastRenderedPageBreak/>
        <w:t>ven privados de esta forma de disponer del cuerpo de la persona querida según sus costumbres o creencias religiosas.</w:t>
      </w:r>
    </w:p>
    <w:p w14:paraId="534F4DFA"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246F40E5"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Aunque la regulación actual del delito contra la integridad que se recoge en el art. 173 del Código Penal ya permite castigar el acto de ocultar el cadáver, ante la preocupación social que han generado algunos casos recientes, y visto el especial sufrimiento ocasionado a los familiares y allegados de las víctimas de algunos delitos cuando los responsables se han negado a dar cuenta del paradero del cadáver,  es procedente hacer una referencia expresa en dicho precepto a este tipo de supuestos, contemplado además un agravamiento de la pena por razón del especial desvalor que tal hecho merece.</w:t>
      </w:r>
    </w:p>
    <w:p w14:paraId="5B195932"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767FC25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1E500C2E" w14:textId="77777777" w:rsidR="002C7583" w:rsidRPr="002C7583" w:rsidRDefault="002C7583" w:rsidP="002C7583">
      <w:pPr>
        <w:autoSpaceDE w:val="0"/>
        <w:autoSpaceDN w:val="0"/>
        <w:adjustRightInd w:val="0"/>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V</w:t>
      </w:r>
    </w:p>
    <w:p w14:paraId="7FF00292" w14:textId="77777777" w:rsidR="002C7583" w:rsidRPr="002C7583" w:rsidRDefault="002C7583" w:rsidP="002C7583">
      <w:pPr>
        <w:autoSpaceDE w:val="0"/>
        <w:autoSpaceDN w:val="0"/>
        <w:adjustRightInd w:val="0"/>
        <w:spacing w:after="0" w:line="240" w:lineRule="auto"/>
        <w:jc w:val="center"/>
        <w:rPr>
          <w:rFonts w:ascii="Arial" w:eastAsia="Times New Roman" w:hAnsi="Arial" w:cs="Arial"/>
          <w:lang w:eastAsia="es-ES"/>
        </w:rPr>
      </w:pPr>
    </w:p>
    <w:p w14:paraId="359F8E48"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bookmarkStart w:id="0" w:name="_Hlk118926162"/>
      <w:r w:rsidRPr="002C7583">
        <w:rPr>
          <w:rFonts w:ascii="Arial" w:eastAsia="Times New Roman" w:hAnsi="Arial" w:cs="Arial"/>
          <w:lang w:eastAsia="es-ES"/>
        </w:rPr>
        <w:t xml:space="preserve">Se aborda igualmente la reforma de los delitos contra el orden público del Título XXII de la Ley Orgánica 10/1995, de 23 de noviembre, del Código Penal. </w:t>
      </w:r>
    </w:p>
    <w:p w14:paraId="452221B8"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974673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La revisión de este título persigue los siguientes objetivos: en primer lugar, armonizar la legislación española sobre esta materia con la de los países de nuestro entorno; en segundo lugar, adecuar su regulación a la realidad histórica actual, que resulta muy diferente de aquella en la que fueron concebidas algunas figuras; en tercer lugar, mejorar la redacción y clarificar la estructura de los tipos penales afectados.</w:t>
      </w:r>
    </w:p>
    <w:p w14:paraId="11A85484"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01BF13E3"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El tipo de sedición del artículo 544 del vigente Código penal fue introducido en el ordenamiento español a través del Código Penal de 1822 bajo el título siguiente: “De los delitos contra la seguridad interior del estado, y contra la tranquilidad y orden público”. Y, en la actualidad, mantiene prácticamente inalterada su redacción original, si bien su reciente aplicación ha permitido establecer criterios interpretativos, sobre todo en lo referido a la intensidad de la afectación del orden público y el uso de la violencia, que se ven reflejados en la presente reforma.</w:t>
      </w:r>
    </w:p>
    <w:p w14:paraId="1A6AAD54"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09883C6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Desde un principio, la conducta típica de este delito se ha basado en el alzamiento para la consecución de ciertos objetivos. Ya el artículo 250 del Código Penal de 1870 consideraba reos de este delito a los que se alzaren pública y tumultuariamente para conseguir por la fuerza o fuera de las vías legales determinados objetivos, tal y como hace actualmente el art. 544 del Código penal de 1995.  A lo largo de los años se han ido introduciendo mínimas variaciones en cuanto a los objetivos concretos que en este delito debía perseguir el alzamiento, pero apenas se ha modificado el elemento central de la conducta típica. </w:t>
      </w:r>
    </w:p>
    <w:p w14:paraId="4A81C71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6FC03D88"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La reforma más importante en esta materia se produce con la aprobación del Código Penal de 1995, que reubica el delito de sedición para configurarlo como un delito contra el orden público, con una tipificación y una pena que no se ajustan a los mejores estándares de los países de nuestro entorno.</w:t>
      </w:r>
      <w:r w:rsidRPr="002C7583">
        <w:rPr>
          <w:rFonts w:ascii="Arial" w:eastAsia="Times New Roman" w:hAnsi="Arial" w:cs="Arial"/>
          <w:strike/>
          <w:lang w:eastAsia="es-ES"/>
        </w:rPr>
        <w:t xml:space="preserve"> </w:t>
      </w:r>
    </w:p>
    <w:p w14:paraId="3D058BBC"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18CE728E"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lastRenderedPageBreak/>
        <w:t>La escasa aplicación que hasta fechas recientes ha experimentado este delito ha impedido apreciar con claridad los graves problemas de interpretación que se derivan de la difícil delimitación del tipo penal y de la confusa definición de la conducta típica.</w:t>
      </w:r>
    </w:p>
    <w:p w14:paraId="430D817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 </w:t>
      </w:r>
    </w:p>
    <w:p w14:paraId="782C5777"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doctrina ha criticado efectivamente la falta de claridad acerca del contenido y alcance del tipo delictivo de sedición, circunstancia ésta que opera en contra del mandato de certeza propio del principio de legalidad penal. Tampoco puede obviarse, por otra parte, el hecho de que la comisión de este delito puede presentarse vinculada en su desarrollo al ejercicio de derechos y libertades fundamentales como el derecho de reunión o la libertad de expresión. Conviene, en este sentido, evitar un posible efecto disuasorio sobre el ejercicio de tales derechos y libertades constitucionales, lo que hace particularmente necesario precisar cuál es exactamente la conducta castigada y de qué forma lesiona o pone en peligro el bien penalmente protegido. </w:t>
      </w:r>
    </w:p>
    <w:p w14:paraId="58247AFF"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0A8F71C4"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De igual forma, debe fortalecerse la importancia del principio de proporcionalidad a la hora de establecer la pena hasta ahora asociada a este delito. Destaca la elevada gravedad de las penas previstas hasta la fecha, teniendo en cuenta no la sólo amplitud con la que se define la conducta típica, sino también el marco penal en el que se mueven estos delitos en otros ordenamientos jurídicos europeos.</w:t>
      </w:r>
    </w:p>
    <w:p w14:paraId="3C0C199C"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373F525C"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Los problemas de proporcionalidad se agudizan por la defectuosa delimitación que actualmente se hace entre la sedición y otros delitos o infracciones administrativas basados igualmente en una alteración del orden público que implique resistencia o desobediencia a la autoridad, que en algunos casos requieren además una conducta violenta o intimidatoria. Y es que, una vez que el delito de sedición es claramente separado del delito de rebelión y pasa a ser configurado como un delito contra el orden público, resulta complicado precisar el lugar sistemático que le corresponde en relación con otros delitos que atentan contra este mismo bien jurídico. De hecho, en otros ordenamientos es difícil encontrar un delito específico que pueda identificarse con este delito de sedición del artículo 544 del Código Penal.</w:t>
      </w:r>
    </w:p>
    <w:p w14:paraId="1347615A"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346E6993"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A la vista de la regulación que de estos comportamientos llevan a cabo los países con los que España comparte tradición jurídica y resultaba imprescindible revisar el tratamiento que el Código Penal español viene realizando de los delitos contra el orden público.</w:t>
      </w:r>
    </w:p>
    <w:p w14:paraId="0AD508DE"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29C1E5AC"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Es deber del Estado dotar al ordenamiento de tipos penales que permitan dar la respuesta jurídica más adecuada a los nuevos retos para la convivencia que plantea el presente y que, como es lógico, no son recogidos en toda su complejidad en una legislación de hace dos siglos. </w:t>
      </w:r>
    </w:p>
    <w:p w14:paraId="0E94B3B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79BFC1E8"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De este modo, la reciente aplicación de este precepto ha puesto de manifiesto imprecisiones normativas de dudosa compatibilidad con el principio de legalidad penal y al principio de proporcionalidad. Unas imprecisiones, además, que se suman al carácter obsoleto y carente de reflejo en la legislación de los países europeos de nuestro entorno jurídico. Todos estos factores aconsejan abordar de forma simultánea la supresión de esta figura a la vez que se acomete una reforma integral de otros tipos </w:t>
      </w:r>
      <w:r w:rsidRPr="002C7583">
        <w:rPr>
          <w:rFonts w:ascii="Arial" w:eastAsia="Times New Roman" w:hAnsi="Arial" w:cs="Arial"/>
          <w:lang w:eastAsia="es-ES"/>
        </w:rPr>
        <w:lastRenderedPageBreak/>
        <w:t>penales para centrar la acción legislativa en materia penal en la protección del bien jurídico del orden público.</w:t>
      </w:r>
    </w:p>
    <w:p w14:paraId="4C7ECB3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37476A47"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Esta reforma integral del tipo penal del delito de desórdenes públicos pretende: dar una respuesta jurídico penal adecuada a nuevos fenómenos sociales que afectan a la figura del ejercicio de las legítimas competencias por parte de las autoridades; reforzar el principio de legalidad penal en todas sus expresiones y muy especialmente en lo relativo a la debida proporcionalidad entre delitos y penas y a la taxatividad de los tipos penales; acercar la legislación penal española a la de los países de nuestro entorno; adecuar a los valores propios de una sociedad democrática y permitir a los operadores jurídicos interpretar con total claridad la legislación existente sobre la materia cuando deban aplicarla.</w:t>
      </w:r>
    </w:p>
    <w:p w14:paraId="49C50973"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27084A95"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Así, las principales modificaciones operadas sobre los delitos contra el orden público, son las siguientes: en primer lugar, se introduce una nueva regulación del delito de desórdenes públicos para dotarle de unos contornos más claros describiendo los elementos necesarios y confluyentes para su comisión: la actuación en grupo, la finalidad de atentar contra la paz pública, entendida esta como la normalidad de la convivencia con un uso pacífico de los derechos, especialmente los derechos fundamentales y, por último, la existencia de violencia o intimidación. La confluencia de estos tres elementos no solo aporta una mayor precisión al tipo penal, sino que además ayudan a distinguirlo de otros delitos sobre las personas o las cosas y permite distinguir entre comportamientos amparados por los derechos fundamentales de reunión y de libertad de expresión y comportamientos antijurídicos claramente destinados a perjudicar la convivencia o a poner en peligro la paz y tranquilidad públicas. En este sentido, se reintegra el tipo la exigencia de la actuación en grupo, regresando a la formulación original contenida en el Código Penal de 1995 y eliminando la confusa, contradictoria y perturbadora referencia a su comisión individual operada por la Ley Orgánica 1/2015.</w:t>
      </w:r>
    </w:p>
    <w:p w14:paraId="04220CC0"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294FD454" w14:textId="77777777" w:rsidR="002C7583" w:rsidRPr="002C7583" w:rsidRDefault="002C7583" w:rsidP="002C7583">
      <w:pPr>
        <w:autoSpaceDE w:val="0"/>
        <w:autoSpaceDN w:val="0"/>
        <w:adjustRightInd w:val="0"/>
        <w:spacing w:after="0" w:line="240" w:lineRule="auto"/>
        <w:jc w:val="both"/>
        <w:rPr>
          <w:rFonts w:ascii="Arial" w:eastAsia="Times New Roman" w:hAnsi="Arial" w:cs="Arial"/>
          <w:strike/>
          <w:lang w:eastAsia="es-ES"/>
        </w:rPr>
      </w:pPr>
      <w:r w:rsidRPr="002C7583">
        <w:rPr>
          <w:rFonts w:ascii="Arial" w:eastAsia="Times New Roman" w:hAnsi="Arial" w:cs="Arial"/>
          <w:lang w:eastAsia="es-ES"/>
        </w:rPr>
        <w:t xml:space="preserve">En segundo lugar, se introduce una modalidad agravada de desórdenes públicos. Esta modalidad agravada exige que el delito de desórdenes públicos sea cometido por una multitud cuyas características (número, organización y finalidad) sean idóneas para afectar gravemente el orden público, entendido como el normal funcionamiento de las instituciones y servicios públicos. Se configura, así, como un tipo de peligro que, aunque no exige que el orden público llegue a verse efectivamente afectado o impedido, sí requiere que se hayan dispuesto los elementos de una forma adecuada para haberlo puesto en peligro. </w:t>
      </w:r>
    </w:p>
    <w:p w14:paraId="7691654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2E7D2BA" w14:textId="77777777" w:rsidR="002C7583" w:rsidRPr="002C7583" w:rsidRDefault="002C7583" w:rsidP="002C7583">
      <w:pPr>
        <w:autoSpaceDE w:val="0"/>
        <w:autoSpaceDN w:val="0"/>
        <w:adjustRightInd w:val="0"/>
        <w:spacing w:after="0" w:line="240" w:lineRule="auto"/>
        <w:jc w:val="both"/>
        <w:rPr>
          <w:rFonts w:ascii="Arial" w:eastAsia="Times New Roman" w:hAnsi="Arial" w:cs="Arial"/>
          <w:strike/>
          <w:lang w:eastAsia="es-ES"/>
        </w:rPr>
      </w:pPr>
      <w:r w:rsidRPr="002C7583">
        <w:rPr>
          <w:rFonts w:ascii="Arial" w:eastAsia="Times New Roman" w:hAnsi="Arial" w:cs="Arial"/>
          <w:lang w:eastAsia="es-ES"/>
        </w:rPr>
        <w:t xml:space="preserve">De este modo, el bien jurídico del orden público se convierte en el centro de esta figura penal, evitando problemas de imprecisión jurídica existentes hasta ahora. Las penas asociadas a este nuevo tipo penal se sitúan, además, en los contornos de las jurisdicciones europeas de nuestro entorno, que prevén, como se hace en esta reforma, una respuesta penal a fenómenos específicos y especialmente graves de alteración del orden público cuando este se ve objetivamente amenazado por multitudes constituidas para conseguir dicho fin. España incorpora así un modelo de protección avanzada del orden público ante estos riesgos muy similar al de países europeos con los que </w:t>
      </w:r>
      <w:r w:rsidRPr="002C7583">
        <w:rPr>
          <w:rFonts w:ascii="Arial" w:eastAsia="Times New Roman" w:hAnsi="Arial" w:cs="Arial"/>
          <w:lang w:eastAsia="es-ES"/>
        </w:rPr>
        <w:lastRenderedPageBreak/>
        <w:t xml:space="preserve">comparte valores jurídicos y con los que aspira a una plena homologación. Cabe citar, por ejemplo, los códigos penales de Alemania, Francia, Italia, Suiza, Bélgica o Portugal. </w:t>
      </w:r>
    </w:p>
    <w:p w14:paraId="528BF360"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5E04807E"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En líneas generales, la regulación que se hace de tales ilícitos en países de nuestro entorno, en comparación con la que ofrece nuestro Código Penal, se caracteriza no solo por la menor gravedad de las penas o la exigencia en todo caso de violencia o intimidación, sino también por la ausencia de una figura específica equiparable al delito de sedición. Tal tipología ha sido objeto de derogación en ordenamientos como el alemán, donde se encontraba regulado en el parágrafo 115 de su norma penal, que castigaba a los que tomaban parte en una asonada o alzamiento público en el que se llevara a cabo precisamente un acto de resistencia del parágrafo 113; un delito que, sin embargo, fue criticado por castigar el mero hecho de formar parte de la asonada, sin exigir que se hiciera uso de la violencia o de la amenaza, y que fue finalmente derogado en 1970, una tendencia que se asume en la presente reforma.</w:t>
      </w:r>
    </w:p>
    <w:p w14:paraId="6DC23AB6"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F534942"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Por último, se realiza también una sistematización más precisa de los agravantes del delito de desórdenes públicos y se mantiene una figura que sanciona la comisión de algunos de los comportamientos asociados a este delito sin que medie violencia o intimidación.</w:t>
      </w:r>
    </w:p>
    <w:bookmarkEnd w:id="0"/>
    <w:p w14:paraId="492E4D9B" w14:textId="77777777" w:rsidR="002C7583" w:rsidRPr="002C7583" w:rsidRDefault="002C7583" w:rsidP="002C7583">
      <w:pPr>
        <w:spacing w:after="0" w:line="240" w:lineRule="auto"/>
        <w:rPr>
          <w:rFonts w:ascii="Arial" w:eastAsia="Times New Roman" w:hAnsi="Arial" w:cs="Arial"/>
          <w:lang w:eastAsia="es-ES"/>
        </w:rPr>
      </w:pPr>
    </w:p>
    <w:p w14:paraId="10640AFA"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6905E03A" w14:textId="77777777" w:rsidR="002C7583" w:rsidRPr="002C7583" w:rsidRDefault="002C7583" w:rsidP="002C7583">
      <w:pPr>
        <w:autoSpaceDE w:val="0"/>
        <w:autoSpaceDN w:val="0"/>
        <w:adjustRightInd w:val="0"/>
        <w:spacing w:after="0" w:line="240" w:lineRule="auto"/>
        <w:jc w:val="center"/>
        <w:rPr>
          <w:rFonts w:ascii="Arial" w:eastAsia="Times New Roman" w:hAnsi="Arial" w:cs="Arial"/>
          <w:b/>
          <w:lang w:eastAsia="es-ES"/>
        </w:rPr>
      </w:pPr>
      <w:r w:rsidRPr="002C7583">
        <w:rPr>
          <w:rFonts w:ascii="Arial" w:eastAsia="Times New Roman" w:hAnsi="Arial" w:cs="Arial"/>
          <w:b/>
          <w:lang w:eastAsia="es-ES"/>
        </w:rPr>
        <w:t>VI</w:t>
      </w:r>
    </w:p>
    <w:p w14:paraId="2177EEE2" w14:textId="77777777" w:rsidR="002C7583" w:rsidRPr="002C7583" w:rsidRDefault="002C7583" w:rsidP="002C7583">
      <w:pPr>
        <w:autoSpaceDE w:val="0"/>
        <w:autoSpaceDN w:val="0"/>
        <w:adjustRightInd w:val="0"/>
        <w:spacing w:after="0" w:line="240" w:lineRule="auto"/>
        <w:jc w:val="center"/>
        <w:rPr>
          <w:rFonts w:ascii="Arial" w:eastAsia="Times New Roman" w:hAnsi="Arial" w:cs="Arial"/>
          <w:b/>
          <w:lang w:eastAsia="es-ES"/>
        </w:rPr>
      </w:pPr>
    </w:p>
    <w:p w14:paraId="11141777"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La regulación de la infracción de contrabando en materia de material de defensa y de productos y tecnologías de doble uso, responde al establecimiento de un sistema de control de las operaciones de comercio exterior derivada de obligaciones internacionales del Estado español. </w:t>
      </w:r>
    </w:p>
    <w:p w14:paraId="4AD4EF05"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65E274E5"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El sistema punitivo a través del contrabando busca como uno de sus objetivos sacar del circuito el material o los productos o tecnologías a los que se aplica cuando no se conoce con anterioridad por la Administración la realización de la operación. Objetivo que se alcanza con la intervención del material o de los productos o de la tecnología objeto del comercio exterior.</w:t>
      </w:r>
    </w:p>
    <w:p w14:paraId="3BAB6C7A"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3A6D64C1"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Si bien el Código Penal tipifica la fabricación, comercialización o tenencia de las armas de guerra, armas de fuego, o armas químicas, biológicas, nucleares o radiológicas, minas antipersonas o municiones en racimo, en relación con productos y tecnología de doble uso solo están tipificadas las acciones previas al comercio exterior de productos y tecnologías que vayan a ser destinadas a programas de proliferación, con la posible comisión del delito de contrabando en grado de tentativa. Se considera necesario tipificar las conductas de conspiración y proposición de operaciones de comercio exterior sobre productos y tecnologías de doble uso, a cuyo fin se modifica el artículo 3 de la Ley Orgánica de Reprensión del Contrabando.</w:t>
      </w:r>
    </w:p>
    <w:p w14:paraId="11BF1130"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6A032671"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Por otro lado, habida cuenta de la especialización, nivel técnico y el empleo de estructuras financieras complejas que implican la realización de este tipo de conductas delictivas, así como la materialización de parte o la totalidad de estas en territorio </w:t>
      </w:r>
      <w:r w:rsidRPr="002C7583">
        <w:rPr>
          <w:rFonts w:ascii="Arial" w:eastAsia="Times New Roman" w:hAnsi="Arial" w:cs="Arial"/>
          <w:lang w:eastAsia="es-ES"/>
        </w:rPr>
        <w:lastRenderedPageBreak/>
        <w:t xml:space="preserve">extranjero y/o aguas internacionales, se considera adecuado atribuir a la Audiencia Nacional la instrucción y enjuiciamiento de causas por este tipo de acciones delictivas., lo que exige la modificación del artículo 65 de la Ley Orgánica del Poder Judicial. </w:t>
      </w:r>
    </w:p>
    <w:p w14:paraId="15E6AC3F"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4D6AB5A4"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11C73CBB"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p>
    <w:p w14:paraId="237197D8" w14:textId="77777777" w:rsidR="002C7583" w:rsidRPr="002C7583" w:rsidRDefault="002C7583" w:rsidP="002C7583">
      <w:pPr>
        <w:spacing w:after="0" w:line="240" w:lineRule="auto"/>
        <w:jc w:val="center"/>
        <w:rPr>
          <w:rFonts w:ascii="Arial" w:eastAsia="Times New Roman" w:hAnsi="Arial" w:cs="Arial"/>
          <w:b/>
          <w:bCs/>
          <w:lang w:eastAsia="es-ES"/>
        </w:rPr>
      </w:pPr>
      <w:r w:rsidRPr="002C7583">
        <w:rPr>
          <w:rFonts w:ascii="Arial" w:eastAsia="Times New Roman" w:hAnsi="Arial" w:cs="Arial"/>
          <w:b/>
          <w:bCs/>
          <w:lang w:eastAsia="es-ES"/>
        </w:rPr>
        <w:t>PROPOSICIÓN DE LEY</w:t>
      </w:r>
    </w:p>
    <w:p w14:paraId="57DAFF00" w14:textId="77777777" w:rsidR="002C7583" w:rsidRPr="002C7583" w:rsidRDefault="002C7583" w:rsidP="002C7583">
      <w:pPr>
        <w:spacing w:after="0" w:line="240" w:lineRule="auto"/>
        <w:jc w:val="both"/>
        <w:rPr>
          <w:rFonts w:ascii="Arial" w:eastAsia="Times New Roman" w:hAnsi="Arial" w:cs="Arial"/>
          <w:color w:val="000000"/>
          <w:lang w:eastAsia="es-ES"/>
        </w:rPr>
      </w:pPr>
    </w:p>
    <w:p w14:paraId="0775926C"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Artículo primero</w:t>
      </w:r>
      <w:r w:rsidRPr="002C7583">
        <w:rPr>
          <w:rFonts w:ascii="Arial" w:eastAsia="Times New Roman" w:hAnsi="Arial" w:cs="Arial"/>
          <w:lang w:eastAsia="es-ES"/>
        </w:rPr>
        <w:t xml:space="preserve">. </w:t>
      </w:r>
      <w:r w:rsidRPr="002C7583">
        <w:rPr>
          <w:rFonts w:ascii="Arial" w:eastAsia="Times New Roman" w:hAnsi="Arial" w:cs="Arial"/>
          <w:b/>
          <w:lang w:eastAsia="es-ES"/>
        </w:rPr>
        <w:t xml:space="preserve">Modificación de la Ley Orgánica 10/1995, de 23 de noviembre, del Código Penal. </w:t>
      </w:r>
    </w:p>
    <w:p w14:paraId="447EF088" w14:textId="77777777" w:rsidR="002C7583" w:rsidRPr="002C7583" w:rsidRDefault="002C7583" w:rsidP="002C7583">
      <w:pPr>
        <w:spacing w:after="0" w:line="240" w:lineRule="auto"/>
        <w:jc w:val="both"/>
        <w:rPr>
          <w:rFonts w:ascii="Arial" w:eastAsia="Times New Roman" w:hAnsi="Arial" w:cs="Arial"/>
          <w:b/>
          <w:lang w:eastAsia="es-ES"/>
        </w:rPr>
      </w:pPr>
    </w:p>
    <w:p w14:paraId="54DE6D3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La Ley Orgánica 10/1995, de 23 de noviembre, del Código Penal, queda modificada como sigue:</w:t>
      </w:r>
    </w:p>
    <w:p w14:paraId="740FDE31" w14:textId="77777777" w:rsidR="002C7583" w:rsidRPr="002C7583" w:rsidRDefault="002C7583" w:rsidP="002C7583">
      <w:pPr>
        <w:spacing w:after="0" w:line="240" w:lineRule="auto"/>
        <w:jc w:val="both"/>
        <w:rPr>
          <w:rFonts w:ascii="Arial" w:eastAsia="Times New Roman" w:hAnsi="Arial" w:cs="Arial"/>
          <w:lang w:eastAsia="es-ES"/>
        </w:rPr>
      </w:pPr>
    </w:p>
    <w:p w14:paraId="1FCC0580" w14:textId="77777777" w:rsidR="002C7583" w:rsidRPr="002C7583" w:rsidRDefault="002C7583" w:rsidP="002C7583">
      <w:pPr>
        <w:spacing w:after="0" w:line="240" w:lineRule="auto"/>
        <w:jc w:val="both"/>
        <w:rPr>
          <w:rFonts w:ascii="Arial" w:eastAsia="Times New Roman" w:hAnsi="Arial" w:cs="Arial"/>
          <w:lang w:eastAsia="es-ES"/>
        </w:rPr>
      </w:pPr>
    </w:p>
    <w:p w14:paraId="70FBB12D"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Uno.</w:t>
      </w:r>
      <w:r w:rsidRPr="002C7583">
        <w:rPr>
          <w:rFonts w:ascii="Arial" w:eastAsia="Times New Roman" w:hAnsi="Arial" w:cs="Arial"/>
          <w:lang w:eastAsia="es-ES"/>
        </w:rPr>
        <w:t xml:space="preserve"> Se modifica la redacción del apartado 1 del artículo 173, añadiendo un nuevo párrafo segundo, con la siguiente redacción: </w:t>
      </w:r>
    </w:p>
    <w:p w14:paraId="02C8F59A" w14:textId="77777777" w:rsidR="002C7583" w:rsidRPr="002C7583" w:rsidRDefault="002C7583" w:rsidP="002C7583">
      <w:pPr>
        <w:spacing w:after="0" w:line="240" w:lineRule="auto"/>
        <w:jc w:val="both"/>
        <w:rPr>
          <w:rFonts w:ascii="Arial" w:eastAsia="Times New Roman" w:hAnsi="Arial" w:cs="Arial"/>
          <w:lang w:eastAsia="es-ES"/>
        </w:rPr>
      </w:pPr>
    </w:p>
    <w:p w14:paraId="7282B7EF" w14:textId="77777777" w:rsidR="002C7583" w:rsidRPr="002C7583" w:rsidRDefault="002C7583" w:rsidP="002C7583">
      <w:pPr>
        <w:autoSpaceDE w:val="0"/>
        <w:autoSpaceDN w:val="0"/>
        <w:adjustRightInd w:val="0"/>
        <w:spacing w:after="0" w:line="240" w:lineRule="auto"/>
        <w:jc w:val="both"/>
        <w:rPr>
          <w:rFonts w:ascii="Arial" w:eastAsia="Times New Roman" w:hAnsi="Arial" w:cs="Arial"/>
          <w:lang w:eastAsia="es-ES"/>
        </w:rPr>
      </w:pPr>
      <w:r w:rsidRPr="002C7583">
        <w:rPr>
          <w:rFonts w:ascii="Arial" w:eastAsia="Times New Roman" w:hAnsi="Arial" w:cs="Arial"/>
          <w:lang w:eastAsia="es-ES"/>
        </w:rPr>
        <w:t>“Igual pena se impondrá a quienes, teniendo conocimiento del paradero del cadáver de una persona, oculten de modo reiterado tal información a los familiares o allegados de la misma.”»</w:t>
      </w:r>
    </w:p>
    <w:p w14:paraId="1BD7455D" w14:textId="77777777" w:rsidR="002C7583" w:rsidRPr="002C7583" w:rsidRDefault="002C7583" w:rsidP="002C7583">
      <w:pPr>
        <w:spacing w:after="0" w:line="240" w:lineRule="auto"/>
        <w:jc w:val="both"/>
        <w:rPr>
          <w:rFonts w:ascii="Arial" w:eastAsia="Times New Roman" w:hAnsi="Arial" w:cs="Arial"/>
          <w:lang w:eastAsia="es-ES"/>
        </w:rPr>
      </w:pPr>
    </w:p>
    <w:p w14:paraId="2C8CBCC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Dos.</w:t>
      </w:r>
      <w:r w:rsidRPr="002C7583">
        <w:rPr>
          <w:rFonts w:ascii="Arial" w:eastAsia="Times New Roman" w:hAnsi="Arial" w:cs="Arial"/>
          <w:lang w:eastAsia="es-ES"/>
        </w:rPr>
        <w:t xml:space="preserve"> Se modifica la redacción del artículo 248, que queda redactado como sigue: </w:t>
      </w:r>
    </w:p>
    <w:p w14:paraId="2E33F145" w14:textId="77777777" w:rsidR="002C7583" w:rsidRPr="002C7583" w:rsidRDefault="002C7583" w:rsidP="002C7583">
      <w:pPr>
        <w:spacing w:after="0" w:line="240" w:lineRule="auto"/>
        <w:jc w:val="both"/>
        <w:rPr>
          <w:rFonts w:ascii="Arial" w:eastAsia="Times New Roman" w:hAnsi="Arial" w:cs="Arial"/>
          <w:lang w:eastAsia="es-ES"/>
        </w:rPr>
      </w:pPr>
    </w:p>
    <w:p w14:paraId="19BBB40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“Cometen estafa los que, con ánimo de lucro, utilizaren engaño bastante para producir error en otro, induciéndolo a realizar un acto de disposición en perjuicio propio o ajeno.</w:t>
      </w:r>
    </w:p>
    <w:p w14:paraId="50F5D006" w14:textId="77777777" w:rsidR="002C7583" w:rsidRPr="002C7583" w:rsidRDefault="002C7583" w:rsidP="002C7583">
      <w:pPr>
        <w:spacing w:after="0" w:line="240" w:lineRule="auto"/>
        <w:jc w:val="both"/>
        <w:rPr>
          <w:rFonts w:ascii="Arial" w:eastAsia="Times New Roman" w:hAnsi="Arial" w:cs="Arial"/>
          <w:lang w:eastAsia="es-ES"/>
        </w:rPr>
      </w:pPr>
    </w:p>
    <w:p w14:paraId="013A567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Los reos de estafa serán castigados con la pena de prisión de seis meses a tres años. Para la fijación de la pena se tendrá en cuenta el importe de lo defraudado, el quebranto económico causado al perjudicado, las relaciones entre éste y el defraudador, los medios empleados por éste y cuantas otras circunstancias sirvan para valorar la gravedad de la infracción. </w:t>
      </w:r>
    </w:p>
    <w:p w14:paraId="3613D65E" w14:textId="77777777" w:rsidR="002C7583" w:rsidRPr="002C7583" w:rsidRDefault="002C7583" w:rsidP="002C7583">
      <w:pPr>
        <w:spacing w:after="0" w:line="240" w:lineRule="auto"/>
        <w:jc w:val="both"/>
        <w:rPr>
          <w:rFonts w:ascii="Arial" w:eastAsia="Times New Roman" w:hAnsi="Arial" w:cs="Arial"/>
          <w:lang w:eastAsia="es-ES"/>
        </w:rPr>
      </w:pPr>
    </w:p>
    <w:p w14:paraId="3213A46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Si la cuantía de lo defraudado no excediere de 400 euros, se impondrá la pena de multa de uno a tres meses”.</w:t>
      </w:r>
    </w:p>
    <w:p w14:paraId="3696B09A" w14:textId="77777777" w:rsidR="002C7583" w:rsidRPr="002C7583" w:rsidRDefault="002C7583" w:rsidP="002C7583">
      <w:pPr>
        <w:spacing w:after="0" w:line="240" w:lineRule="auto"/>
        <w:jc w:val="both"/>
        <w:rPr>
          <w:rFonts w:ascii="Arial" w:eastAsia="Times New Roman" w:hAnsi="Arial" w:cs="Arial"/>
          <w:lang w:eastAsia="es-ES"/>
        </w:rPr>
      </w:pPr>
    </w:p>
    <w:p w14:paraId="4E01CBBA"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Tres.</w:t>
      </w:r>
      <w:r w:rsidRPr="002C7583">
        <w:rPr>
          <w:rFonts w:ascii="Arial" w:eastAsia="Times New Roman" w:hAnsi="Arial" w:cs="Arial"/>
          <w:lang w:eastAsia="es-ES"/>
        </w:rPr>
        <w:t xml:space="preserve"> Se modifica el artículo 249, que queda redactado como sigue: </w:t>
      </w:r>
    </w:p>
    <w:p w14:paraId="35F178DC" w14:textId="77777777" w:rsidR="002C7583" w:rsidRPr="002C7583" w:rsidRDefault="002C7583" w:rsidP="002C7583">
      <w:pPr>
        <w:spacing w:after="0" w:line="240" w:lineRule="auto"/>
        <w:jc w:val="both"/>
        <w:rPr>
          <w:rFonts w:ascii="Arial" w:eastAsia="Times New Roman" w:hAnsi="Arial" w:cs="Arial"/>
          <w:lang w:eastAsia="es-ES"/>
        </w:rPr>
      </w:pPr>
    </w:p>
    <w:p w14:paraId="0BB6650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“1. También se consideran reos de estafa y serán castigados con la pena de prisión de seis meses a tres años: </w:t>
      </w:r>
    </w:p>
    <w:p w14:paraId="6F4F17A8" w14:textId="77777777" w:rsidR="002C7583" w:rsidRPr="002C7583" w:rsidRDefault="002C7583" w:rsidP="002C7583">
      <w:pPr>
        <w:spacing w:after="0" w:line="240" w:lineRule="auto"/>
        <w:jc w:val="both"/>
        <w:rPr>
          <w:rFonts w:ascii="Arial" w:eastAsia="Times New Roman" w:hAnsi="Arial" w:cs="Arial"/>
          <w:lang w:eastAsia="es-ES"/>
        </w:rPr>
      </w:pPr>
    </w:p>
    <w:p w14:paraId="484B7ED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a) Los que, con ánimo de lucro, obstaculizando o interfiriendo indebidamente en el funcionamiento de un sistema de información o introduciendo, alterando, borrando, transmitiendo o suprimiendo indebidamente datos informáticos o valiéndose de cualquier otra manipulación informática o artificio semejante consigan una transferencia no consentida de cualquier activo patrimonial en perjuicio de otro. </w:t>
      </w:r>
    </w:p>
    <w:p w14:paraId="134EE7CA" w14:textId="77777777" w:rsidR="002C7583" w:rsidRPr="002C7583" w:rsidRDefault="002C7583" w:rsidP="002C7583">
      <w:pPr>
        <w:spacing w:after="0" w:line="240" w:lineRule="auto"/>
        <w:jc w:val="both"/>
        <w:rPr>
          <w:rFonts w:ascii="Arial" w:eastAsia="Times New Roman" w:hAnsi="Arial" w:cs="Arial"/>
          <w:lang w:eastAsia="es-ES"/>
        </w:rPr>
      </w:pPr>
    </w:p>
    <w:p w14:paraId="551EDB6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lastRenderedPageBreak/>
        <w:t xml:space="preserve">b) Los que, utilizando de forma fraudulenta tarjetas de crédito o débito, cheques de viaje o cualquier otro instrumento de pago material o inmaterial distinto del efectivo o los datos obrantes en cualquiera de ellos, realicen operaciones de cualquier clase en perjuicio de su titular o de un tercero. </w:t>
      </w:r>
    </w:p>
    <w:p w14:paraId="1BD36F36" w14:textId="77777777" w:rsidR="002C7583" w:rsidRPr="002C7583" w:rsidRDefault="002C7583" w:rsidP="002C7583">
      <w:pPr>
        <w:spacing w:after="0" w:line="240" w:lineRule="auto"/>
        <w:jc w:val="both"/>
        <w:rPr>
          <w:rFonts w:ascii="Arial" w:eastAsia="Times New Roman" w:hAnsi="Arial" w:cs="Arial"/>
          <w:lang w:eastAsia="es-ES"/>
        </w:rPr>
      </w:pPr>
    </w:p>
    <w:p w14:paraId="195E22F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2. Con la misma pena prevista en el apartado anterior serán castigados: </w:t>
      </w:r>
    </w:p>
    <w:p w14:paraId="4B7027FC" w14:textId="77777777" w:rsidR="002C7583" w:rsidRPr="002C7583" w:rsidRDefault="002C7583" w:rsidP="002C7583">
      <w:pPr>
        <w:spacing w:after="0" w:line="240" w:lineRule="auto"/>
        <w:jc w:val="both"/>
        <w:rPr>
          <w:rFonts w:ascii="Arial" w:eastAsia="Times New Roman" w:hAnsi="Arial" w:cs="Arial"/>
          <w:lang w:eastAsia="es-ES"/>
        </w:rPr>
      </w:pPr>
    </w:p>
    <w:p w14:paraId="28BAC89D"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a) Los que fabricaren, importaren, obtuvieren, poseyeren, transportaren, comerciaren, o de otro modo facilitaren a terceros dispositivos, instrumentos o datos o programas informáticos, o cualquier otro medio diseñado o adaptado específicamente para la comisión de las estafas previstas en este artículo. </w:t>
      </w:r>
    </w:p>
    <w:p w14:paraId="20AEEF40" w14:textId="77777777" w:rsidR="002C7583" w:rsidRPr="002C7583" w:rsidRDefault="002C7583" w:rsidP="002C7583">
      <w:pPr>
        <w:spacing w:after="0" w:line="240" w:lineRule="auto"/>
        <w:jc w:val="both"/>
        <w:rPr>
          <w:rFonts w:ascii="Arial" w:eastAsia="Times New Roman" w:hAnsi="Arial" w:cs="Arial"/>
          <w:lang w:eastAsia="es-ES"/>
        </w:rPr>
      </w:pPr>
    </w:p>
    <w:p w14:paraId="721D374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b) Los que, para su utilización fraudulenta, sustraigan, se apropiaren o adquieran de forma ilícita tarjetas de crédito o débito, cheques de viaje o cualquier otro instrumento de pago material o inmaterial distinto del efectivo. </w:t>
      </w:r>
    </w:p>
    <w:p w14:paraId="65DE6E24" w14:textId="77777777" w:rsidR="002C7583" w:rsidRPr="002C7583" w:rsidRDefault="002C7583" w:rsidP="002C7583">
      <w:pPr>
        <w:spacing w:after="0" w:line="240" w:lineRule="auto"/>
        <w:jc w:val="both"/>
        <w:rPr>
          <w:rFonts w:ascii="Arial" w:eastAsia="Times New Roman" w:hAnsi="Arial" w:cs="Arial"/>
          <w:lang w:eastAsia="es-ES"/>
        </w:rPr>
      </w:pPr>
    </w:p>
    <w:p w14:paraId="213442B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3. Se impondrá la pena en su mitad inferior a los que, para su utilización fraudulenta y sabiendo que fueron obtenidos ilícitamente, posean, adquieran, transfieran, distribuyan o pongan a disposición de terceros tarjetas de crédito o débito, cheques de viaje o cualesquiera otros instrumentos de pago materiales o inmateriales distintos del efectivo.”</w:t>
      </w:r>
    </w:p>
    <w:p w14:paraId="6CEFD53F" w14:textId="77777777" w:rsidR="002C7583" w:rsidRPr="002C7583" w:rsidRDefault="002C7583" w:rsidP="002C7583">
      <w:pPr>
        <w:spacing w:after="0" w:line="240" w:lineRule="auto"/>
        <w:jc w:val="both"/>
        <w:rPr>
          <w:rFonts w:ascii="Arial" w:eastAsia="Times New Roman" w:hAnsi="Arial" w:cs="Arial"/>
          <w:lang w:eastAsia="es-ES"/>
        </w:rPr>
      </w:pPr>
    </w:p>
    <w:p w14:paraId="47D4B44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Cuatro.</w:t>
      </w:r>
      <w:r w:rsidRPr="002C7583">
        <w:rPr>
          <w:rFonts w:ascii="Arial" w:eastAsia="Times New Roman" w:hAnsi="Arial" w:cs="Arial"/>
          <w:lang w:eastAsia="es-ES"/>
        </w:rPr>
        <w:t xml:space="preserve"> Se modifica el apartado 1 del artículo 252, que queda redactado como sigue: </w:t>
      </w:r>
    </w:p>
    <w:p w14:paraId="46148193" w14:textId="77777777" w:rsidR="002C7583" w:rsidRPr="002C7583" w:rsidRDefault="002C7583" w:rsidP="002C7583">
      <w:pPr>
        <w:spacing w:after="0" w:line="240" w:lineRule="auto"/>
        <w:jc w:val="both"/>
        <w:rPr>
          <w:rFonts w:ascii="Arial" w:eastAsia="Times New Roman" w:hAnsi="Arial" w:cs="Arial"/>
          <w:lang w:eastAsia="es-ES"/>
        </w:rPr>
      </w:pPr>
    </w:p>
    <w:p w14:paraId="1BBBBB5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“1. Serán punibles con las penas del artículo 248 o, en su caso, con las del artículo 250, los que teniendo facultades para administrar un patrimonio ajeno, emanadas de la ley, encomendadas por la autoridad o asumidas mediante un negocio jurídico, las infrinjan excediéndose en el ejercicio de las mismas y, de esa manera, causen un perjuicio al patrimonio administrado.”</w:t>
      </w:r>
    </w:p>
    <w:p w14:paraId="0C0E073E" w14:textId="77777777" w:rsidR="002C7583" w:rsidRPr="002C7583" w:rsidRDefault="002C7583" w:rsidP="002C7583">
      <w:pPr>
        <w:spacing w:after="0" w:line="240" w:lineRule="auto"/>
        <w:jc w:val="both"/>
        <w:rPr>
          <w:rFonts w:ascii="Arial" w:eastAsia="Times New Roman" w:hAnsi="Arial" w:cs="Arial"/>
          <w:lang w:eastAsia="es-ES"/>
        </w:rPr>
      </w:pPr>
    </w:p>
    <w:p w14:paraId="11388FD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Cinco</w:t>
      </w:r>
      <w:r w:rsidRPr="002C7583">
        <w:rPr>
          <w:rFonts w:ascii="Arial" w:eastAsia="Times New Roman" w:hAnsi="Arial" w:cs="Arial"/>
          <w:lang w:eastAsia="es-ES"/>
        </w:rPr>
        <w:t xml:space="preserve">. Se modifica el apartado 1 del artículo 253, que queda redactado como sigue: </w:t>
      </w:r>
    </w:p>
    <w:p w14:paraId="41F22AE7" w14:textId="77777777" w:rsidR="002C7583" w:rsidRPr="002C7583" w:rsidRDefault="002C7583" w:rsidP="002C7583">
      <w:pPr>
        <w:spacing w:after="0" w:line="240" w:lineRule="auto"/>
        <w:jc w:val="both"/>
        <w:rPr>
          <w:rFonts w:ascii="Arial" w:eastAsia="Times New Roman" w:hAnsi="Arial" w:cs="Arial"/>
          <w:lang w:eastAsia="es-ES"/>
        </w:rPr>
      </w:pPr>
    </w:p>
    <w:p w14:paraId="0264C1E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“1. Serán castigados con las penas del artículo 248 o, en su caso, del artículo 250, salvo que ya estuvieran castigados con una pena más grave en otro precepto de este Código, los que, en perjuicio de otro, se apropiaren para sí o para un tercero, de dinero, efectos, valores o cualquier otra cosa mueble, que hubieran recibido en depósito, comisión, o custodia, o que les hubieran sido confiados en virtud de cualquier otro título que produzca la obligación de entregarlos o devolverlos, o negaren haberlos recibido.”</w:t>
      </w:r>
    </w:p>
    <w:p w14:paraId="6E706B0D" w14:textId="77777777" w:rsidR="002C7583" w:rsidRPr="002C7583" w:rsidRDefault="002C7583" w:rsidP="002C7583">
      <w:pPr>
        <w:spacing w:after="0" w:line="240" w:lineRule="auto"/>
        <w:jc w:val="both"/>
        <w:rPr>
          <w:rFonts w:ascii="Arial" w:eastAsia="Times New Roman" w:hAnsi="Arial" w:cs="Arial"/>
          <w:lang w:eastAsia="es-ES"/>
        </w:rPr>
      </w:pPr>
    </w:p>
    <w:p w14:paraId="69C7B64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Seis</w:t>
      </w:r>
      <w:r w:rsidRPr="002C7583">
        <w:rPr>
          <w:rFonts w:ascii="Arial" w:eastAsia="Times New Roman" w:hAnsi="Arial" w:cs="Arial"/>
          <w:lang w:eastAsia="es-ES"/>
        </w:rPr>
        <w:t>. Se añade un apartado 3 en el artículo 262 que queda redactado como sigue:</w:t>
      </w:r>
    </w:p>
    <w:p w14:paraId="2DA8A992" w14:textId="77777777" w:rsidR="002C7583" w:rsidRPr="002C7583" w:rsidRDefault="002C7583" w:rsidP="002C7583">
      <w:pPr>
        <w:spacing w:after="0" w:line="240" w:lineRule="auto"/>
        <w:jc w:val="both"/>
        <w:rPr>
          <w:rFonts w:ascii="Arial" w:eastAsia="Times New Roman" w:hAnsi="Arial" w:cs="Arial"/>
          <w:lang w:eastAsia="es-ES"/>
        </w:rPr>
      </w:pPr>
    </w:p>
    <w:p w14:paraId="3A7E0F78"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“3. Quedarán exentos de responsabilidad criminal los directores, administradores de hecho o de Derecho, gerentes y otros miembros de personal actuales y anteriores de cualquier sociedad, constituida o en formación, que en esa condición hayan cometido alguno de los hechos previstos en este artículo, cuando pongan fin a su participación en los mismos y cooperen con las autoridades competentes de manera plena, continua y diligente, aportando informaciones y elementos de prueba de los que estas carecieran, </w:t>
      </w:r>
      <w:r w:rsidRPr="002C7583">
        <w:rPr>
          <w:rFonts w:ascii="Arial" w:eastAsia="Times New Roman" w:hAnsi="Arial" w:cs="Arial"/>
          <w:lang w:eastAsia="es-ES"/>
        </w:rPr>
        <w:lastRenderedPageBreak/>
        <w:t>que sean útiles para la investigación, detección y sanción de las demás personas implicadas, siempre que se cumplan cada una de las siguientes condiciones:</w:t>
      </w:r>
    </w:p>
    <w:p w14:paraId="112448BC" w14:textId="77777777" w:rsidR="002C7583" w:rsidRPr="002C7583" w:rsidRDefault="002C7583" w:rsidP="002C7583">
      <w:pPr>
        <w:spacing w:after="0" w:line="240" w:lineRule="auto"/>
        <w:jc w:val="both"/>
        <w:rPr>
          <w:rFonts w:ascii="Arial" w:eastAsia="Times New Roman" w:hAnsi="Arial" w:cs="Arial"/>
          <w:lang w:eastAsia="es-ES"/>
        </w:rPr>
      </w:pPr>
    </w:p>
    <w:p w14:paraId="38071B7B" w14:textId="77777777" w:rsidR="002C7583" w:rsidRPr="002C7583" w:rsidRDefault="002C7583" w:rsidP="002C7583">
      <w:pPr>
        <w:numPr>
          <w:ilvl w:val="0"/>
          <w:numId w:val="1"/>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cooperen activamente en este sentido con la autoridad de la competencia que lleva el caso,</w:t>
      </w:r>
    </w:p>
    <w:p w14:paraId="03B60698" w14:textId="77777777" w:rsidR="002C7583" w:rsidRPr="002C7583" w:rsidRDefault="002C7583" w:rsidP="002C7583">
      <w:pPr>
        <w:numPr>
          <w:ilvl w:val="0"/>
          <w:numId w:val="1"/>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estas sociedades o personas físicas hayan presentado una solicitud de exención del pago de la multa de conformidad con lo establecido en la ley de defensa de la competencia,</w:t>
      </w:r>
    </w:p>
    <w:p w14:paraId="79279E93" w14:textId="77777777" w:rsidR="002C7583" w:rsidRPr="002C7583" w:rsidRDefault="002C7583" w:rsidP="002C7583">
      <w:pPr>
        <w:numPr>
          <w:ilvl w:val="0"/>
          <w:numId w:val="1"/>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dicha solicitud se haya presentado en un momento anterior a aquel en que los directores, administradores de hecho o de Derecho, gerentes y otros miembros de personal actuales o anteriores de la sociedad, constituida o en formación, hayan sido informados de que están siendo investigados en relación con estos hechos</w:t>
      </w:r>
    </w:p>
    <w:p w14:paraId="7FFB77CB" w14:textId="77777777" w:rsidR="002C7583" w:rsidRPr="002C7583" w:rsidRDefault="002C7583" w:rsidP="002C7583">
      <w:pPr>
        <w:spacing w:after="200" w:line="276" w:lineRule="auto"/>
        <w:ind w:left="720"/>
        <w:contextualSpacing/>
        <w:jc w:val="both"/>
        <w:rPr>
          <w:rFonts w:ascii="Arial" w:eastAsia="Times New Roman" w:hAnsi="Arial" w:cs="Arial"/>
          <w:lang w:eastAsia="es-ES"/>
        </w:rPr>
      </w:pPr>
      <w:r w:rsidRPr="002C7583">
        <w:rPr>
          <w:rFonts w:ascii="Arial" w:eastAsia="Times New Roman" w:hAnsi="Arial" w:cs="Arial"/>
          <w:lang w:eastAsia="es-ES"/>
        </w:rPr>
        <w:t>y</w:t>
      </w:r>
    </w:p>
    <w:p w14:paraId="6D2F9377" w14:textId="77777777" w:rsidR="002C7583" w:rsidRPr="002C7583" w:rsidRDefault="002C7583" w:rsidP="002C7583">
      <w:pPr>
        <w:numPr>
          <w:ilvl w:val="0"/>
          <w:numId w:val="1"/>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se trate de una colaboración activa en este sentido también con la autoridad judicial o el Ministerio Fiscal, proporcionando indicios útiles y concretos para asegurar la prueba del delito e identificar a otros autores.</w:t>
      </w:r>
    </w:p>
    <w:p w14:paraId="55392BA6" w14:textId="77777777" w:rsidR="002C7583" w:rsidRPr="002C7583" w:rsidRDefault="002C7583" w:rsidP="002C7583">
      <w:pPr>
        <w:spacing w:after="0" w:line="240" w:lineRule="auto"/>
        <w:jc w:val="both"/>
        <w:rPr>
          <w:rFonts w:ascii="Arial" w:eastAsia="Times New Roman" w:hAnsi="Arial" w:cs="Arial"/>
          <w:b/>
          <w:iCs/>
          <w:lang w:eastAsia="es-ES"/>
        </w:rPr>
      </w:pPr>
    </w:p>
    <w:p w14:paraId="0D4C5D0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Siete</w:t>
      </w:r>
      <w:r w:rsidRPr="002C7583">
        <w:rPr>
          <w:rFonts w:ascii="Arial" w:eastAsia="Times New Roman" w:hAnsi="Arial" w:cs="Arial"/>
          <w:lang w:eastAsia="es-ES"/>
        </w:rPr>
        <w:t xml:space="preserve">. Se modifica el apartado 5 del artículo 285, que queda redactado como sigue: </w:t>
      </w:r>
    </w:p>
    <w:p w14:paraId="459A2B63" w14:textId="77777777" w:rsidR="002C7583" w:rsidRPr="002C7583" w:rsidRDefault="002C7583" w:rsidP="002C7583">
      <w:pPr>
        <w:spacing w:after="0" w:line="240" w:lineRule="auto"/>
        <w:jc w:val="both"/>
        <w:rPr>
          <w:rFonts w:ascii="Arial" w:eastAsia="Times New Roman" w:hAnsi="Arial" w:cs="Arial"/>
          <w:lang w:eastAsia="es-ES"/>
        </w:rPr>
      </w:pPr>
    </w:p>
    <w:p w14:paraId="467F5E3D"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“5. Las mismas penas previstas en este artículo se impondrán cuando el responsable del hecho, sin tener acceso reservado a la información privilegiada, la obtenga de cualquier modo distinto de los previstos en el apartado anterior y la utilice conociendo que se trata de información privilegiada”.</w:t>
      </w:r>
    </w:p>
    <w:p w14:paraId="1F4F2BDE" w14:textId="77777777" w:rsidR="002C7583" w:rsidRPr="002C7583" w:rsidRDefault="002C7583" w:rsidP="002C7583">
      <w:pPr>
        <w:spacing w:after="0" w:line="240" w:lineRule="auto"/>
        <w:jc w:val="both"/>
        <w:rPr>
          <w:rFonts w:ascii="Arial" w:eastAsia="Times New Roman" w:hAnsi="Arial" w:cs="Arial"/>
          <w:lang w:eastAsia="es-ES"/>
        </w:rPr>
      </w:pPr>
    </w:p>
    <w:p w14:paraId="3B52B818" w14:textId="77777777" w:rsidR="002C7583" w:rsidRPr="002C7583" w:rsidRDefault="002C7583" w:rsidP="002C7583">
      <w:pPr>
        <w:spacing w:after="0" w:line="240" w:lineRule="auto"/>
        <w:jc w:val="both"/>
        <w:rPr>
          <w:rFonts w:ascii="Arial" w:eastAsia="Times New Roman" w:hAnsi="Arial" w:cs="Arial"/>
          <w:lang w:eastAsia="es-ES"/>
        </w:rPr>
      </w:pPr>
    </w:p>
    <w:p w14:paraId="6F6D3F6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Ocho</w:t>
      </w:r>
      <w:r w:rsidRPr="002C7583">
        <w:rPr>
          <w:rFonts w:ascii="Arial" w:eastAsia="Times New Roman" w:hAnsi="Arial" w:cs="Arial"/>
          <w:lang w:eastAsia="es-ES"/>
        </w:rPr>
        <w:t xml:space="preserve">. Se incorpora un nuevo artículo 288 bis, </w:t>
      </w:r>
      <w:bookmarkStart w:id="1" w:name="_Hlk117692511"/>
      <w:r w:rsidRPr="002C7583">
        <w:rPr>
          <w:rFonts w:ascii="Arial" w:eastAsia="Times New Roman" w:hAnsi="Arial" w:cs="Arial"/>
          <w:lang w:eastAsia="es-ES"/>
        </w:rPr>
        <w:t>que queda redactado como sigue</w:t>
      </w:r>
      <w:bookmarkEnd w:id="1"/>
      <w:r w:rsidRPr="002C7583">
        <w:rPr>
          <w:rFonts w:ascii="Arial" w:eastAsia="Times New Roman" w:hAnsi="Arial" w:cs="Arial"/>
          <w:lang w:eastAsia="es-ES"/>
        </w:rPr>
        <w:t>:</w:t>
      </w:r>
    </w:p>
    <w:p w14:paraId="4D25D4E4" w14:textId="77777777" w:rsidR="002C7583" w:rsidRPr="002C7583" w:rsidRDefault="002C7583" w:rsidP="002C7583">
      <w:pPr>
        <w:spacing w:after="0" w:line="240" w:lineRule="auto"/>
        <w:jc w:val="both"/>
        <w:rPr>
          <w:rFonts w:ascii="Arial" w:eastAsia="Times New Roman" w:hAnsi="Arial" w:cs="Arial"/>
          <w:b/>
          <w:iCs/>
          <w:spacing w:val="-3"/>
          <w:lang w:eastAsia="es-ES"/>
        </w:rPr>
      </w:pPr>
    </w:p>
    <w:p w14:paraId="3F65088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“En los supuestos previstos en los artículos 281 y 284 de este Código, quedarán exentos de responsabilidad criminal los directores, administradores de hecho o de Derecho, gerentes y otros miembros de personal actuales y anteriores de cualquier sociedad, constituida o en formación, que en esa condición hayan cometido alguno de los hechos previstos en ellos, cuando pongan fin a su participación en los mismos y cooperen con las autoridades competentes de manera plena, continua y diligente, aportando informaciones y elementos de prueba de los que estas carecieran, que sean útiles para la investigación, detección y sanción de las demás personas implicadas, siempre que se cumplan cada una de las siguientes condiciones:</w:t>
      </w:r>
    </w:p>
    <w:p w14:paraId="22049A0E" w14:textId="77777777" w:rsidR="002C7583" w:rsidRPr="002C7583" w:rsidRDefault="002C7583" w:rsidP="002C7583">
      <w:pPr>
        <w:spacing w:after="0" w:line="240" w:lineRule="auto"/>
        <w:jc w:val="both"/>
        <w:rPr>
          <w:rFonts w:ascii="Arial" w:eastAsia="Times New Roman" w:hAnsi="Arial" w:cs="Arial"/>
          <w:lang w:eastAsia="es-ES"/>
        </w:rPr>
      </w:pPr>
    </w:p>
    <w:p w14:paraId="2596C65B" w14:textId="77777777" w:rsidR="002C7583" w:rsidRPr="002C7583" w:rsidRDefault="002C7583" w:rsidP="002C7583">
      <w:pPr>
        <w:numPr>
          <w:ilvl w:val="0"/>
          <w:numId w:val="2"/>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cooperen activamente en este sentido con la autoridad de la competencia que lleva el caso,</w:t>
      </w:r>
    </w:p>
    <w:p w14:paraId="24445E89" w14:textId="77777777" w:rsidR="002C7583" w:rsidRPr="002C7583" w:rsidRDefault="002C7583" w:rsidP="002C7583">
      <w:pPr>
        <w:numPr>
          <w:ilvl w:val="0"/>
          <w:numId w:val="2"/>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estas sociedades o personas físicas hayan presentado una solicitud de exención del pago de la multa de conformidad con lo establecido en la ley de defensa de la competencia,</w:t>
      </w:r>
    </w:p>
    <w:p w14:paraId="6DEB8090" w14:textId="77777777" w:rsidR="002C7583" w:rsidRPr="002C7583" w:rsidRDefault="002C7583" w:rsidP="002C7583">
      <w:pPr>
        <w:numPr>
          <w:ilvl w:val="0"/>
          <w:numId w:val="2"/>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lastRenderedPageBreak/>
        <w:t xml:space="preserve"> dicha solicitud se haya presentado en un momento anterior a aquel en que los directores, administradores de hecho o de Derecho, gerentes y otros miembros de personal actuales y anteriores de cualquier sociedad, constituida o en formación, que en esa condición hayan sido informados de que están siendo investigados en relación con estos hechos</w:t>
      </w:r>
    </w:p>
    <w:p w14:paraId="7EB0097F" w14:textId="77777777" w:rsidR="002C7583" w:rsidRPr="002C7583" w:rsidRDefault="002C7583" w:rsidP="002C7583">
      <w:pPr>
        <w:spacing w:after="200" w:line="276" w:lineRule="auto"/>
        <w:ind w:left="720"/>
        <w:contextualSpacing/>
        <w:jc w:val="both"/>
        <w:rPr>
          <w:rFonts w:ascii="Arial" w:eastAsia="Times New Roman" w:hAnsi="Arial" w:cs="Arial"/>
          <w:lang w:eastAsia="es-ES"/>
        </w:rPr>
      </w:pPr>
      <w:r w:rsidRPr="002C7583">
        <w:rPr>
          <w:rFonts w:ascii="Arial" w:eastAsia="Times New Roman" w:hAnsi="Arial" w:cs="Arial"/>
          <w:lang w:eastAsia="es-ES"/>
        </w:rPr>
        <w:t>y</w:t>
      </w:r>
    </w:p>
    <w:p w14:paraId="426950A3" w14:textId="77777777" w:rsidR="002C7583" w:rsidRPr="002C7583" w:rsidRDefault="002C7583" w:rsidP="002C7583">
      <w:pPr>
        <w:numPr>
          <w:ilvl w:val="0"/>
          <w:numId w:val="2"/>
        </w:numPr>
        <w:spacing w:after="200" w:line="276" w:lineRule="auto"/>
        <w:contextualSpacing/>
        <w:jc w:val="both"/>
        <w:rPr>
          <w:rFonts w:ascii="Arial" w:eastAsia="Times New Roman" w:hAnsi="Arial" w:cs="Arial"/>
          <w:lang w:eastAsia="es-ES"/>
        </w:rPr>
      </w:pPr>
      <w:r w:rsidRPr="002C7583">
        <w:rPr>
          <w:rFonts w:ascii="Arial" w:eastAsia="Times New Roman" w:hAnsi="Arial" w:cs="Arial"/>
          <w:lang w:eastAsia="es-ES"/>
        </w:rPr>
        <w:t>se trate de una colaboración activa en este sentido también con la autoridad judicial o el Ministerio Fiscal proporcionando indicios útiles y concretos para asegurar la prueba del delito e identificar a otros autores.</w:t>
      </w:r>
    </w:p>
    <w:p w14:paraId="5D474EA9" w14:textId="77777777" w:rsidR="002C7583" w:rsidRPr="002C7583" w:rsidRDefault="002C7583" w:rsidP="002C7583">
      <w:pPr>
        <w:spacing w:after="200" w:line="276" w:lineRule="auto"/>
        <w:jc w:val="both"/>
        <w:rPr>
          <w:rFonts w:ascii="Arial" w:eastAsia="Times New Roman" w:hAnsi="Arial" w:cs="Arial"/>
          <w:lang w:eastAsia="es-ES"/>
        </w:rPr>
      </w:pPr>
      <w:r w:rsidRPr="002C7583">
        <w:rPr>
          <w:rFonts w:ascii="Arial" w:eastAsia="Times New Roman" w:hAnsi="Arial" w:cs="Arial"/>
          <w:b/>
          <w:lang w:eastAsia="es-ES"/>
        </w:rPr>
        <w:t xml:space="preserve">Nueve. </w:t>
      </w:r>
      <w:r w:rsidRPr="002C7583">
        <w:rPr>
          <w:rFonts w:ascii="Arial" w:eastAsia="Times New Roman" w:hAnsi="Arial" w:cs="Arial"/>
          <w:lang w:eastAsia="es-ES"/>
        </w:rPr>
        <w:t>Se modifica el texto de la rúbrica de la Sección 4.ª del Capítulo II del Título XVIII del Libro II, que queda redactado como sigue:</w:t>
      </w:r>
    </w:p>
    <w:p w14:paraId="13A1943F" w14:textId="77777777" w:rsidR="002C7583" w:rsidRPr="002C7583" w:rsidRDefault="002C7583" w:rsidP="002C7583">
      <w:pPr>
        <w:spacing w:after="200" w:line="276" w:lineRule="auto"/>
        <w:jc w:val="both"/>
        <w:rPr>
          <w:rFonts w:ascii="Arial" w:eastAsia="Times New Roman" w:hAnsi="Arial" w:cs="Arial"/>
          <w:b/>
          <w:lang w:eastAsia="es-ES"/>
        </w:rPr>
      </w:pPr>
      <w:r w:rsidRPr="002C7583">
        <w:rPr>
          <w:rFonts w:ascii="Arial" w:eastAsia="Times New Roman" w:hAnsi="Arial" w:cs="Arial"/>
          <w:lang w:eastAsia="es-ES"/>
        </w:rPr>
        <w:t xml:space="preserve"> “De la falsificación de tarjetas de crédito y débito, cheques de viaje y demás instrumentos de pago distintos del efectivo.”</w:t>
      </w:r>
    </w:p>
    <w:p w14:paraId="38C0E91D" w14:textId="77777777" w:rsidR="002C7583" w:rsidRPr="002C7583" w:rsidRDefault="002C7583" w:rsidP="002C7583">
      <w:pPr>
        <w:spacing w:after="0" w:line="240" w:lineRule="auto"/>
        <w:jc w:val="both"/>
        <w:rPr>
          <w:rFonts w:ascii="Arial" w:eastAsia="Times New Roman" w:hAnsi="Arial" w:cs="Arial"/>
          <w:lang w:eastAsia="es-ES"/>
        </w:rPr>
      </w:pPr>
    </w:p>
    <w:p w14:paraId="5BBBC82A"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Diez</w:t>
      </w:r>
      <w:r w:rsidRPr="002C7583">
        <w:rPr>
          <w:rFonts w:ascii="Arial" w:eastAsia="Times New Roman" w:hAnsi="Arial" w:cs="Arial"/>
          <w:lang w:eastAsia="es-ES"/>
        </w:rPr>
        <w:t>. Se modifica el texto de la rúbrica de la Sección 4.ª del Capítulo II del Título XVIII del Libro II, con la siguiente redacción:</w:t>
      </w:r>
    </w:p>
    <w:p w14:paraId="4DFAC9CD" w14:textId="77777777" w:rsidR="002C7583" w:rsidRPr="002C7583" w:rsidRDefault="002C7583" w:rsidP="002C7583">
      <w:pPr>
        <w:spacing w:after="0" w:line="240" w:lineRule="auto"/>
        <w:jc w:val="both"/>
        <w:rPr>
          <w:rFonts w:ascii="Arial" w:eastAsia="Times New Roman" w:hAnsi="Arial" w:cs="Arial"/>
          <w:lang w:eastAsia="es-ES"/>
        </w:rPr>
      </w:pPr>
    </w:p>
    <w:p w14:paraId="291C8F7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 “De la falsificación de tarjetas de crédito y débito, cheques de viaje y demás instrumentos de pago distintos del efectivo.”</w:t>
      </w:r>
    </w:p>
    <w:p w14:paraId="47B7D750" w14:textId="77777777" w:rsidR="002C7583" w:rsidRPr="002C7583" w:rsidRDefault="002C7583" w:rsidP="002C7583">
      <w:pPr>
        <w:spacing w:after="0" w:line="240" w:lineRule="auto"/>
        <w:jc w:val="both"/>
        <w:rPr>
          <w:rFonts w:ascii="Arial" w:eastAsia="Times New Roman" w:hAnsi="Arial" w:cs="Arial"/>
          <w:lang w:eastAsia="es-ES"/>
        </w:rPr>
      </w:pPr>
    </w:p>
    <w:p w14:paraId="72CBFC2A"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Once</w:t>
      </w:r>
      <w:r w:rsidRPr="002C7583">
        <w:rPr>
          <w:rFonts w:ascii="Arial" w:eastAsia="Times New Roman" w:hAnsi="Arial" w:cs="Arial"/>
          <w:lang w:eastAsia="es-ES"/>
        </w:rPr>
        <w:t xml:space="preserve">. Se modifica el artículo 399 bis, que queda redactado como sigue: </w:t>
      </w:r>
    </w:p>
    <w:p w14:paraId="1695CAE0" w14:textId="77777777" w:rsidR="002C7583" w:rsidRPr="002C7583" w:rsidRDefault="002C7583" w:rsidP="002C7583">
      <w:pPr>
        <w:spacing w:after="0" w:line="240" w:lineRule="auto"/>
        <w:jc w:val="both"/>
        <w:rPr>
          <w:rFonts w:ascii="Arial" w:eastAsia="Times New Roman" w:hAnsi="Arial" w:cs="Arial"/>
          <w:lang w:eastAsia="es-ES"/>
        </w:rPr>
      </w:pPr>
    </w:p>
    <w:p w14:paraId="0B94B158"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“1. El que altere, copie, reproduzca o de cualquier otro modo falsifique tarjetas de crédito o débito, cheques de viaje o cualquier otro instrumento de pago distinto del efectivo, será castigado con la pena de prisión de cuatro a ocho años. </w:t>
      </w:r>
    </w:p>
    <w:p w14:paraId="626438C2" w14:textId="77777777" w:rsidR="002C7583" w:rsidRPr="002C7583" w:rsidRDefault="002C7583" w:rsidP="002C7583">
      <w:pPr>
        <w:spacing w:after="0" w:line="240" w:lineRule="auto"/>
        <w:jc w:val="both"/>
        <w:rPr>
          <w:rFonts w:ascii="Arial" w:eastAsia="Times New Roman" w:hAnsi="Arial" w:cs="Arial"/>
          <w:lang w:eastAsia="es-ES"/>
        </w:rPr>
      </w:pPr>
    </w:p>
    <w:p w14:paraId="39E268B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Se impondrá la pena en su mitad superior cuando los efectos falsificados afecten a una generalidad de personas o cuando los hechos se cometan en el marco de una organización criminal dedicada a estas actividades. </w:t>
      </w:r>
    </w:p>
    <w:p w14:paraId="3DD8AA3F" w14:textId="77777777" w:rsidR="002C7583" w:rsidRPr="002C7583" w:rsidRDefault="002C7583" w:rsidP="002C7583">
      <w:pPr>
        <w:spacing w:after="0" w:line="240" w:lineRule="auto"/>
        <w:jc w:val="both"/>
        <w:rPr>
          <w:rFonts w:ascii="Arial" w:eastAsia="Times New Roman" w:hAnsi="Arial" w:cs="Arial"/>
          <w:lang w:eastAsia="es-ES"/>
        </w:rPr>
      </w:pPr>
    </w:p>
    <w:p w14:paraId="3C08045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Cuando de acuerdo con lo establecido en el artículo 31 bis una persona jurídica sea responsable de los anteriores delitos, se le impondrá la pena de multa de dos a cinco años. Atendidas las reglas establecidas en el artículo 66 bis, los jueces y tribunales podrán asimismo imponer las penas recogidas en las letras b) a g) del apartado 7 del artículo 33. </w:t>
      </w:r>
    </w:p>
    <w:p w14:paraId="1A9B1BBB" w14:textId="77777777" w:rsidR="002C7583" w:rsidRPr="002C7583" w:rsidRDefault="002C7583" w:rsidP="002C7583">
      <w:pPr>
        <w:spacing w:after="0" w:line="240" w:lineRule="auto"/>
        <w:jc w:val="both"/>
        <w:rPr>
          <w:rFonts w:ascii="Arial" w:eastAsia="Times New Roman" w:hAnsi="Arial" w:cs="Arial"/>
          <w:lang w:eastAsia="es-ES"/>
        </w:rPr>
      </w:pPr>
    </w:p>
    <w:p w14:paraId="4B838929"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2. La tenencia de tarjetas de crédito o débito, cheques de viaje o cualesquiera otros instrumentos de pago distintos del efectivo falsificados, destinados a la distribución o tráfico será castigada con la pena señalada a la falsificación. </w:t>
      </w:r>
    </w:p>
    <w:p w14:paraId="1031B487" w14:textId="77777777" w:rsidR="002C7583" w:rsidRPr="002C7583" w:rsidRDefault="002C7583" w:rsidP="002C7583">
      <w:pPr>
        <w:spacing w:after="0" w:line="240" w:lineRule="auto"/>
        <w:jc w:val="both"/>
        <w:rPr>
          <w:rFonts w:ascii="Arial" w:eastAsia="Times New Roman" w:hAnsi="Arial" w:cs="Arial"/>
          <w:lang w:eastAsia="es-ES"/>
        </w:rPr>
      </w:pPr>
    </w:p>
    <w:p w14:paraId="5DE74F38"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3. El que sin haber intervenido en la falsificación usare, en perjuicio de otro y a sabiendas de la falsedad, tarjetas de crédito o débito, cheques de viaje o cualesquiera otros </w:t>
      </w:r>
      <w:r w:rsidRPr="002C7583">
        <w:rPr>
          <w:rFonts w:ascii="Arial" w:eastAsia="Times New Roman" w:hAnsi="Arial" w:cs="Arial"/>
          <w:lang w:eastAsia="es-ES"/>
        </w:rPr>
        <w:lastRenderedPageBreak/>
        <w:t xml:space="preserve">instrumentos de pago distintos del efectivo falsificados, será castigado con la pena de prisión de dos a cinco años. </w:t>
      </w:r>
    </w:p>
    <w:p w14:paraId="0DD70FAF" w14:textId="77777777" w:rsidR="002C7583" w:rsidRPr="002C7583" w:rsidRDefault="002C7583" w:rsidP="002C7583">
      <w:pPr>
        <w:spacing w:after="0" w:line="240" w:lineRule="auto"/>
        <w:jc w:val="both"/>
        <w:rPr>
          <w:rFonts w:ascii="Arial" w:eastAsia="Times New Roman" w:hAnsi="Arial" w:cs="Arial"/>
          <w:lang w:eastAsia="es-ES"/>
        </w:rPr>
      </w:pPr>
    </w:p>
    <w:p w14:paraId="0E81551D"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4. El que, para su utilización fraudulenta y a sabiendas de su falsedad, posea u obtenga, para sí o para un tercero, tarjetas de crédito o débito, cheques de viaje o cualquier otro instrumento de pago distinto del efectivo será castigado con pena de prisión de uno a dos años.”</w:t>
      </w:r>
    </w:p>
    <w:p w14:paraId="12AAF747" w14:textId="77777777" w:rsidR="002C7583" w:rsidRPr="002C7583" w:rsidRDefault="002C7583" w:rsidP="002C7583">
      <w:pPr>
        <w:spacing w:after="0" w:line="240" w:lineRule="auto"/>
        <w:jc w:val="both"/>
        <w:rPr>
          <w:rFonts w:ascii="Arial" w:eastAsia="Times New Roman" w:hAnsi="Arial" w:cs="Arial"/>
          <w:lang w:eastAsia="es-ES"/>
        </w:rPr>
      </w:pPr>
    </w:p>
    <w:p w14:paraId="43DD2C0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Doce</w:t>
      </w:r>
      <w:r w:rsidRPr="002C7583">
        <w:rPr>
          <w:rFonts w:ascii="Arial" w:eastAsia="Times New Roman" w:hAnsi="Arial" w:cs="Arial"/>
          <w:lang w:eastAsia="es-ES"/>
        </w:rPr>
        <w:t xml:space="preserve">. Se añade un nuevo artículo 399 ter, con la siguiente redacción: </w:t>
      </w:r>
    </w:p>
    <w:p w14:paraId="16EF8641" w14:textId="77777777" w:rsidR="002C7583" w:rsidRPr="002C7583" w:rsidRDefault="002C7583" w:rsidP="002C7583">
      <w:pPr>
        <w:spacing w:after="0" w:line="240" w:lineRule="auto"/>
        <w:jc w:val="both"/>
        <w:rPr>
          <w:rFonts w:ascii="Arial" w:eastAsia="Times New Roman" w:hAnsi="Arial" w:cs="Arial"/>
          <w:lang w:eastAsia="es-ES"/>
        </w:rPr>
      </w:pPr>
    </w:p>
    <w:p w14:paraId="7DFE206F"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“A los efectos de este Código, se entiende por instrumento de pago distinto del efectivo cualquier dispositivo, objeto o registro protegido, material o inmaterial, o una combinación de estos, exceptuada la moneda de curso legal, que, por sí solo o en combinación con un procedimiento o conjunto de procedimientos, permite al titular o usuario transferir dinero o valor monetario incluso a través de medios digitales de intercambio.” </w:t>
      </w:r>
    </w:p>
    <w:p w14:paraId="192F44B4" w14:textId="77777777" w:rsidR="002C7583" w:rsidRPr="002C7583" w:rsidRDefault="002C7583" w:rsidP="002C7583">
      <w:pPr>
        <w:spacing w:after="0" w:line="240" w:lineRule="auto"/>
        <w:jc w:val="both"/>
        <w:rPr>
          <w:rFonts w:ascii="Arial" w:eastAsia="Times New Roman" w:hAnsi="Arial" w:cs="Arial"/>
          <w:lang w:eastAsia="es-ES"/>
        </w:rPr>
      </w:pPr>
    </w:p>
    <w:p w14:paraId="456B62F7"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lang w:eastAsia="es-ES"/>
        </w:rPr>
        <w:t>Trece</w:t>
      </w:r>
      <w:r w:rsidRPr="002C7583">
        <w:rPr>
          <w:rFonts w:ascii="Arial" w:eastAsia="Times New Roman" w:hAnsi="Arial" w:cs="Arial"/>
          <w:lang w:eastAsia="es-ES"/>
        </w:rPr>
        <w:t xml:space="preserve">. Se modifica el artículo 400, que queda redactado como sigue: </w:t>
      </w:r>
    </w:p>
    <w:p w14:paraId="43C072B3" w14:textId="77777777" w:rsidR="002C7583" w:rsidRPr="002C7583" w:rsidRDefault="002C7583" w:rsidP="002C7583">
      <w:pPr>
        <w:spacing w:after="0" w:line="240" w:lineRule="auto"/>
        <w:jc w:val="both"/>
        <w:rPr>
          <w:rFonts w:ascii="Arial" w:eastAsia="Times New Roman" w:hAnsi="Arial" w:cs="Arial"/>
          <w:lang w:eastAsia="es-ES"/>
        </w:rPr>
      </w:pPr>
    </w:p>
    <w:p w14:paraId="48FD161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“La fabricación, recepción, obtención, tenencia, distribución, puesta a disposición o comercialización de útiles, materiales, instrumentos, sustancias, datos y programas informáticos, aparatos, elementos de seguridad o cualquier otro medio diseñado o adaptado específicamente para la comisión de los delitos descritos en los Capítulos anteriores, se castigarán con la pena señalada en cada caso para los autores”.</w:t>
      </w:r>
    </w:p>
    <w:p w14:paraId="3046559D" w14:textId="77777777" w:rsidR="002C7583" w:rsidRPr="002C7583" w:rsidRDefault="002C7583" w:rsidP="002C7583">
      <w:pPr>
        <w:spacing w:after="0" w:line="240" w:lineRule="auto"/>
        <w:jc w:val="both"/>
        <w:rPr>
          <w:rFonts w:ascii="Arial" w:eastAsia="Times New Roman" w:hAnsi="Arial" w:cs="Arial"/>
          <w:lang w:eastAsia="es-ES"/>
        </w:rPr>
      </w:pPr>
    </w:p>
    <w:p w14:paraId="154F444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Catorce</w:t>
      </w:r>
      <w:r w:rsidRPr="002C7583">
        <w:rPr>
          <w:rFonts w:ascii="Arial" w:eastAsia="Times New Roman" w:hAnsi="Arial" w:cs="Arial"/>
          <w:lang w:eastAsia="es-ES"/>
        </w:rPr>
        <w:t>. Se suprime el Capítulo I del Título XXII</w:t>
      </w:r>
    </w:p>
    <w:p w14:paraId="1CFAFBE9" w14:textId="77777777" w:rsidR="002C7583" w:rsidRPr="002C7583" w:rsidRDefault="002C7583" w:rsidP="002C7583">
      <w:pPr>
        <w:spacing w:after="0" w:line="240" w:lineRule="auto"/>
        <w:jc w:val="both"/>
        <w:rPr>
          <w:rFonts w:ascii="Arial" w:eastAsia="Times New Roman" w:hAnsi="Arial" w:cs="Arial"/>
          <w:lang w:eastAsia="es-ES"/>
        </w:rPr>
      </w:pPr>
    </w:p>
    <w:p w14:paraId="639EE240"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Quince</w:t>
      </w:r>
      <w:r w:rsidRPr="002C7583">
        <w:rPr>
          <w:rFonts w:ascii="Arial" w:eastAsia="Times New Roman" w:hAnsi="Arial" w:cs="Arial"/>
          <w:lang w:eastAsia="es-ES"/>
        </w:rPr>
        <w:t>. Se modifica el artículo 557, que queda redactado como sigue:</w:t>
      </w:r>
    </w:p>
    <w:p w14:paraId="615A8B76" w14:textId="77777777" w:rsidR="002C7583" w:rsidRPr="002C7583" w:rsidRDefault="002C7583" w:rsidP="002C7583">
      <w:pPr>
        <w:spacing w:after="0" w:line="240" w:lineRule="auto"/>
        <w:jc w:val="both"/>
        <w:rPr>
          <w:rFonts w:ascii="Arial" w:eastAsia="Times New Roman" w:hAnsi="Arial" w:cs="Arial"/>
          <w:lang w:eastAsia="es-ES"/>
        </w:rPr>
      </w:pPr>
    </w:p>
    <w:p w14:paraId="69A5226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1.“Serán castigados con la pena de prisión de seis meses a tres años los que, actuando en grupo y con el fin de atentar contra la paz pública, ejecuten actos de violencia o intimidación:</w:t>
      </w:r>
    </w:p>
    <w:p w14:paraId="7F24CE6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(a)</w:t>
      </w:r>
      <w:r w:rsidRPr="002C7583">
        <w:rPr>
          <w:rFonts w:ascii="Arial" w:eastAsia="Times New Roman" w:hAnsi="Arial" w:cs="Arial"/>
          <w:lang w:eastAsia="es-ES"/>
        </w:rPr>
        <w:tab/>
        <w:t>sobre las personas o las cosas; u</w:t>
      </w:r>
    </w:p>
    <w:p w14:paraId="420E7C10"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(b)</w:t>
      </w:r>
      <w:r w:rsidRPr="002C7583">
        <w:rPr>
          <w:rFonts w:ascii="Arial" w:eastAsia="Times New Roman" w:hAnsi="Arial" w:cs="Arial"/>
          <w:lang w:eastAsia="es-ES"/>
        </w:rPr>
        <w:tab/>
        <w:t>obstaculizando las vías públicas ocasionando un peligro para la vida o salud de las personas; o</w:t>
      </w:r>
    </w:p>
    <w:p w14:paraId="40BA5265" w14:textId="77777777" w:rsidR="002C7583" w:rsidRPr="002C7583" w:rsidRDefault="002C7583" w:rsidP="002C758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lang w:eastAsia="es-ES"/>
        </w:rPr>
      </w:pPr>
      <w:r w:rsidRPr="002C7583">
        <w:rPr>
          <w:rFonts w:ascii="Arial" w:eastAsia="Times New Roman" w:hAnsi="Arial" w:cs="Arial"/>
          <w:lang w:eastAsia="es-ES"/>
        </w:rPr>
        <w:t>(c)</w:t>
      </w:r>
      <w:r w:rsidRPr="002C7583">
        <w:rPr>
          <w:rFonts w:ascii="Arial" w:eastAsia="Times New Roman" w:hAnsi="Arial" w:cs="Arial"/>
          <w:lang w:eastAsia="es-ES"/>
        </w:rPr>
        <w:tab/>
        <w:t xml:space="preserve">invadiendo instalaciones o edificios </w:t>
      </w:r>
    </w:p>
    <w:p w14:paraId="46F7CBB3"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2. Los hechos descritos en el apartado anterior serán castigados con la pena de prisión de tres a cinco años e inhabilitación especial para empleo o cargo público por el mismo tiempo cuando se cometan por una multitud cuyo número, organización y propósito sean idóneos para afectar gravemente el orden público.  En caso de hallarse los autores constituidos en autoridad, la pena de inhabilitación será absoluta por tiempo de seis a ocho años.</w:t>
      </w:r>
    </w:p>
    <w:p w14:paraId="2B4E7828" w14:textId="77777777" w:rsidR="002C7583" w:rsidRPr="002C7583" w:rsidRDefault="002C7583" w:rsidP="002C7583">
      <w:pPr>
        <w:spacing w:after="0" w:line="240" w:lineRule="auto"/>
        <w:jc w:val="both"/>
        <w:rPr>
          <w:rFonts w:ascii="Arial" w:eastAsia="Times New Roman" w:hAnsi="Arial" w:cs="Arial"/>
          <w:lang w:eastAsia="es-ES"/>
        </w:rPr>
      </w:pPr>
    </w:p>
    <w:p w14:paraId="7C64601C" w14:textId="77777777" w:rsidR="002C7583" w:rsidRPr="002C7583" w:rsidRDefault="002C7583" w:rsidP="002C7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70C0"/>
          <w:lang w:val="es-ES_tradnl" w:eastAsia="es-ES"/>
          <w14:textOutline w14:w="12700" w14:cap="flat" w14:cmpd="sng" w14:algn="ctr">
            <w14:noFill/>
            <w14:prstDash w14:val="solid"/>
            <w14:miter w14:lim="400000"/>
          </w14:textOutline>
        </w:rPr>
      </w:pPr>
      <w:r w:rsidRPr="002C7583">
        <w:rPr>
          <w:rFonts w:ascii="Arial" w:eastAsia="Times New Roman" w:hAnsi="Arial" w:cs="Arial"/>
          <w:u w:color="0070C0"/>
          <w:lang w:val="es-ES_tradnl" w:eastAsia="es-ES"/>
          <w14:textOutline w14:w="12700" w14:cap="flat" w14:cmpd="sng" w14:algn="ctr">
            <w14:noFill/>
            <w14:prstDash w14:val="solid"/>
            <w14:miter w14:lim="400000"/>
          </w14:textOutline>
        </w:rPr>
        <w:t>3. Las penas de los apartados anteriores se impondrán en su mitad superior a los intervinientes que portaran instrumentos peligrosos o a los que llevaran a cabo actos de pillaje.</w:t>
      </w:r>
    </w:p>
    <w:p w14:paraId="31C7FA40" w14:textId="77777777" w:rsidR="002C7583" w:rsidRPr="002C7583" w:rsidRDefault="002C7583" w:rsidP="002C7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70C0"/>
          <w:lang w:val="es-ES_tradnl" w:eastAsia="es-ES"/>
          <w14:textOutline w14:w="12700" w14:cap="flat" w14:cmpd="sng" w14:algn="ctr">
            <w14:noFill/>
            <w14:prstDash w14:val="solid"/>
            <w14:miter w14:lim="400000"/>
          </w14:textOutline>
        </w:rPr>
      </w:pPr>
      <w:r w:rsidRPr="002C7583">
        <w:rPr>
          <w:rFonts w:ascii="Arial" w:eastAsia="Times New Roman" w:hAnsi="Arial" w:cs="Arial"/>
          <w:u w:color="0070C0"/>
          <w:lang w:val="es-ES_tradnl" w:eastAsia="es-ES"/>
          <w14:textOutline w14:w="12700" w14:cap="flat" w14:cmpd="sng" w14:algn="ctr">
            <w14:noFill/>
            <w14:prstDash w14:val="solid"/>
            <w14:miter w14:lim="400000"/>
          </w14:textOutline>
        </w:rPr>
        <w:lastRenderedPageBreak/>
        <w:t>Estas penas se aplicarán en un grado superior cuando se portaran armas de fuego.</w:t>
      </w:r>
    </w:p>
    <w:p w14:paraId="5FD82843" w14:textId="77777777" w:rsidR="002C7583" w:rsidRPr="002C7583" w:rsidRDefault="002C7583" w:rsidP="002C7583">
      <w:pPr>
        <w:spacing w:after="0" w:line="240" w:lineRule="auto"/>
        <w:jc w:val="both"/>
        <w:rPr>
          <w:rFonts w:ascii="Arial" w:eastAsia="Times New Roman" w:hAnsi="Arial" w:cs="Arial"/>
          <w:lang w:val="es-ES_tradnl" w:eastAsia="es-ES"/>
        </w:rPr>
      </w:pPr>
    </w:p>
    <w:p w14:paraId="028D895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4. La provocación, la conspiración y la proposición para las conductas previstas en los números dos y tres del presente artículo serán punibles con las penas inferiores en uno o dos grados a las respectivamente previstas.</w:t>
      </w:r>
    </w:p>
    <w:p w14:paraId="0ADA2014" w14:textId="77777777" w:rsidR="002C7583" w:rsidRPr="002C7583" w:rsidRDefault="002C7583" w:rsidP="002C7583">
      <w:pPr>
        <w:spacing w:after="0" w:line="240" w:lineRule="auto"/>
        <w:jc w:val="both"/>
        <w:rPr>
          <w:rFonts w:ascii="Arial" w:eastAsia="Times New Roman" w:hAnsi="Arial" w:cs="Arial"/>
          <w:lang w:eastAsia="es-ES"/>
        </w:rPr>
      </w:pPr>
    </w:p>
    <w:p w14:paraId="6D0D5A75"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5. Será castigado con pena de prisión de seis meses a dos años quien en lugar concurrido provocará avalancha, estampida u otra reacción análoga en el público que pongan en situación de peligro la vida o la salud de las personas.</w:t>
      </w:r>
    </w:p>
    <w:p w14:paraId="34543E5F" w14:textId="77777777" w:rsidR="002C7583" w:rsidRPr="002C7583" w:rsidRDefault="002C7583" w:rsidP="002C7583">
      <w:pPr>
        <w:spacing w:after="0" w:line="240" w:lineRule="auto"/>
        <w:jc w:val="both"/>
        <w:rPr>
          <w:rFonts w:ascii="Arial" w:eastAsia="Times New Roman" w:hAnsi="Arial" w:cs="Arial"/>
          <w:lang w:eastAsia="es-ES"/>
        </w:rPr>
      </w:pPr>
    </w:p>
    <w:p w14:paraId="1EE9813B"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6. Las penas señaladas en este artículo se impondrán sin perjuicio de las que les puedan corresponder a los actos concretos de lesiones, amenazas, coacciones o daños que se hubieran llevado a cabo.”</w:t>
      </w:r>
    </w:p>
    <w:p w14:paraId="7F0F692E" w14:textId="77777777" w:rsidR="002C7583" w:rsidRPr="002C7583" w:rsidRDefault="002C7583" w:rsidP="002C7583">
      <w:pPr>
        <w:spacing w:after="0" w:line="240" w:lineRule="auto"/>
        <w:jc w:val="both"/>
        <w:rPr>
          <w:rFonts w:ascii="Arial" w:eastAsia="Times New Roman" w:hAnsi="Arial" w:cs="Arial"/>
          <w:lang w:eastAsia="es-ES"/>
        </w:rPr>
      </w:pPr>
    </w:p>
    <w:p w14:paraId="0D43051F"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Dieciséis</w:t>
      </w:r>
      <w:r w:rsidRPr="002C7583">
        <w:rPr>
          <w:rFonts w:ascii="Arial" w:eastAsia="Times New Roman" w:hAnsi="Arial" w:cs="Arial"/>
          <w:lang w:eastAsia="es-ES"/>
        </w:rPr>
        <w:t>. Se modifica el artículo 557 bis, que queda redactado como sigue:</w:t>
      </w:r>
    </w:p>
    <w:p w14:paraId="5F283008" w14:textId="77777777" w:rsidR="002C7583" w:rsidRPr="002C7583" w:rsidRDefault="002C7583" w:rsidP="002C7583">
      <w:pPr>
        <w:spacing w:after="0" w:line="240" w:lineRule="auto"/>
        <w:jc w:val="both"/>
        <w:rPr>
          <w:rFonts w:ascii="Arial" w:eastAsia="Times New Roman" w:hAnsi="Arial" w:cs="Arial"/>
          <w:lang w:eastAsia="es-ES"/>
        </w:rPr>
      </w:pPr>
    </w:p>
    <w:p w14:paraId="23C77E78"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“Los que, sin hacer uso de violencia o intimidación y sin estar comprendidos en el artículo anterior, actuando en grupo invadan u ocupen, contra la voluntad de su titular, el domicilio de una persona jurídica pública o privada, un despacho, oficina, establecimiento o local, aunque se encuentre abierto al público, y causen con ello una perturbación relevante de la paz pública y de su actividad normal, serán castigados con una pena de prisión de tres a seis meses o multa de seis a doce meses, salvo que los hechos ya estuvieran castigados con una pena más grave en otro precepto de este Código.”</w:t>
      </w:r>
    </w:p>
    <w:p w14:paraId="374B9A16" w14:textId="77777777" w:rsidR="002C7583" w:rsidRPr="002C7583" w:rsidRDefault="002C7583" w:rsidP="002C7583">
      <w:pPr>
        <w:spacing w:after="0" w:line="240" w:lineRule="auto"/>
        <w:jc w:val="both"/>
        <w:rPr>
          <w:rFonts w:ascii="Arial" w:eastAsia="Times New Roman" w:hAnsi="Arial" w:cs="Arial"/>
          <w:lang w:eastAsia="es-ES"/>
        </w:rPr>
      </w:pPr>
    </w:p>
    <w:p w14:paraId="6A630552"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Diecisiete</w:t>
      </w:r>
      <w:r w:rsidRPr="002C7583">
        <w:rPr>
          <w:rFonts w:ascii="Arial" w:eastAsia="Times New Roman" w:hAnsi="Arial" w:cs="Arial"/>
          <w:lang w:eastAsia="es-ES"/>
        </w:rPr>
        <w:t>. Se suprime el artículo 557 ter.</w:t>
      </w:r>
    </w:p>
    <w:p w14:paraId="73D017FE" w14:textId="77777777" w:rsidR="002C7583" w:rsidRPr="002C7583" w:rsidRDefault="002C7583" w:rsidP="002C7583">
      <w:pPr>
        <w:spacing w:after="0" w:line="240" w:lineRule="auto"/>
        <w:jc w:val="both"/>
        <w:rPr>
          <w:rFonts w:ascii="Arial" w:eastAsia="Times New Roman" w:hAnsi="Arial" w:cs="Arial"/>
          <w:lang w:eastAsia="es-ES"/>
        </w:rPr>
      </w:pPr>
    </w:p>
    <w:p w14:paraId="1135591F"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Dieciocho</w:t>
      </w:r>
      <w:r w:rsidRPr="002C7583">
        <w:rPr>
          <w:rFonts w:ascii="Arial" w:eastAsia="Times New Roman" w:hAnsi="Arial" w:cs="Arial"/>
          <w:lang w:eastAsia="es-ES"/>
        </w:rPr>
        <w:t>. Se suprime el artículo 559.</w:t>
      </w:r>
    </w:p>
    <w:p w14:paraId="46A8B8D4" w14:textId="77777777" w:rsidR="002C7583" w:rsidRPr="002C7583" w:rsidRDefault="002C7583" w:rsidP="002C7583">
      <w:pPr>
        <w:spacing w:after="0" w:line="240" w:lineRule="auto"/>
        <w:jc w:val="both"/>
        <w:rPr>
          <w:rFonts w:ascii="Arial" w:eastAsia="Times New Roman" w:hAnsi="Arial" w:cs="Arial"/>
          <w:lang w:eastAsia="es-ES"/>
        </w:rPr>
      </w:pPr>
    </w:p>
    <w:p w14:paraId="51C76A31"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b/>
          <w:bCs/>
          <w:lang w:eastAsia="es-ES"/>
        </w:rPr>
        <w:t>Diecinueve</w:t>
      </w:r>
      <w:r w:rsidRPr="002C7583">
        <w:rPr>
          <w:rFonts w:ascii="Arial" w:eastAsia="Times New Roman" w:hAnsi="Arial" w:cs="Arial"/>
          <w:lang w:eastAsia="es-ES"/>
        </w:rPr>
        <w:t>. Se modifica el apartado 4 del artículo 573 bis, que queda redactado como sigue:</w:t>
      </w:r>
    </w:p>
    <w:p w14:paraId="6A41B716" w14:textId="77777777" w:rsidR="002C7583" w:rsidRPr="002C7583" w:rsidRDefault="002C7583" w:rsidP="002C7583">
      <w:pPr>
        <w:spacing w:after="0" w:line="240" w:lineRule="auto"/>
        <w:jc w:val="both"/>
        <w:rPr>
          <w:rFonts w:ascii="Arial" w:eastAsia="Times New Roman" w:hAnsi="Arial" w:cs="Arial"/>
          <w:lang w:eastAsia="es-ES"/>
        </w:rPr>
      </w:pPr>
    </w:p>
    <w:p w14:paraId="7619A64C"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4. El delito de desórdenes públicos previsto en los apartados dos y tres del artículo 557, así como el delito de rebelión, cuando se cometan por una organización o grupo terrorista o individualmente pero amparados en ellos, se castigarán con la pena superior en grado a las previstas para tales delitos.</w:t>
      </w:r>
    </w:p>
    <w:p w14:paraId="510DB39C" w14:textId="77777777" w:rsidR="002C7583" w:rsidRPr="002C7583" w:rsidRDefault="002C7583" w:rsidP="002C7583">
      <w:pPr>
        <w:spacing w:after="0" w:line="240" w:lineRule="auto"/>
        <w:jc w:val="both"/>
        <w:rPr>
          <w:rFonts w:ascii="Arial" w:eastAsia="Times New Roman" w:hAnsi="Arial" w:cs="Arial"/>
          <w:lang w:eastAsia="es-ES"/>
        </w:rPr>
      </w:pPr>
    </w:p>
    <w:p w14:paraId="15B04735" w14:textId="77777777" w:rsidR="002C7583" w:rsidRPr="002C7583" w:rsidRDefault="002C7583" w:rsidP="002C7583">
      <w:pPr>
        <w:spacing w:after="0" w:line="240" w:lineRule="auto"/>
        <w:jc w:val="both"/>
        <w:rPr>
          <w:rFonts w:ascii="Arial" w:eastAsia="Times New Roman" w:hAnsi="Arial" w:cs="Arial"/>
          <w:lang w:eastAsia="es-ES"/>
        </w:rPr>
      </w:pPr>
    </w:p>
    <w:p w14:paraId="26A8866F" w14:textId="77777777" w:rsidR="002C7583" w:rsidRPr="002C7583" w:rsidRDefault="002C7583" w:rsidP="002C7583">
      <w:pPr>
        <w:spacing w:after="0" w:line="240" w:lineRule="auto"/>
        <w:jc w:val="both"/>
        <w:rPr>
          <w:rFonts w:ascii="Arial" w:eastAsia="Times New Roman" w:hAnsi="Arial" w:cs="Arial"/>
          <w:lang w:eastAsia="es-ES"/>
        </w:rPr>
      </w:pPr>
    </w:p>
    <w:p w14:paraId="2A3A236C" w14:textId="77777777" w:rsidR="002C7583" w:rsidRPr="002C7583" w:rsidRDefault="002C7583" w:rsidP="002C7583">
      <w:pPr>
        <w:spacing w:after="0" w:line="240" w:lineRule="auto"/>
        <w:jc w:val="both"/>
        <w:rPr>
          <w:rFonts w:ascii="Arial" w:eastAsia="Times New Roman" w:hAnsi="Arial" w:cs="Arial"/>
          <w:lang w:eastAsia="es-ES"/>
        </w:rPr>
      </w:pPr>
    </w:p>
    <w:p w14:paraId="136DAA92"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Artículo segundo</w:t>
      </w:r>
      <w:r w:rsidRPr="002C7583">
        <w:rPr>
          <w:rFonts w:ascii="Arial" w:eastAsia="Times New Roman" w:hAnsi="Arial" w:cs="Arial"/>
          <w:lang w:eastAsia="es-ES"/>
        </w:rPr>
        <w:t xml:space="preserve">: </w:t>
      </w:r>
      <w:r w:rsidRPr="002C7583">
        <w:rPr>
          <w:rFonts w:ascii="Arial" w:eastAsia="Times New Roman" w:hAnsi="Arial" w:cs="Arial"/>
          <w:b/>
          <w:lang w:eastAsia="es-ES"/>
        </w:rPr>
        <w:t>Modificación de la Ley Orgánica 12/1995, de 12 de diciembre, de Represión del Contrabando.</w:t>
      </w:r>
    </w:p>
    <w:p w14:paraId="71356FB0"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Se añade un nuevo apartado 4 al artículo 3 de Ley Orgánica 12/1995, de 12 de diciembre, de Represión del Contrabando, con la siguiente redacción.</w:t>
      </w:r>
    </w:p>
    <w:p w14:paraId="2A0AAC2C" w14:textId="77777777" w:rsidR="002C7583" w:rsidRPr="002C7583" w:rsidRDefault="002C7583" w:rsidP="002C7583">
      <w:pPr>
        <w:autoSpaceDE w:val="0"/>
        <w:autoSpaceDN w:val="0"/>
        <w:adjustRightInd w:val="0"/>
        <w:spacing w:after="0" w:line="240" w:lineRule="auto"/>
        <w:jc w:val="both"/>
        <w:rPr>
          <w:rFonts w:ascii="Arial" w:eastAsia="Calibri" w:hAnsi="Arial" w:cs="Arial"/>
          <w:color w:val="000000"/>
        </w:rPr>
      </w:pPr>
    </w:p>
    <w:p w14:paraId="767BE9ED"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color w:val="000000"/>
        </w:rPr>
        <w:lastRenderedPageBreak/>
        <w:t>“</w:t>
      </w:r>
      <w:r w:rsidRPr="002C7583">
        <w:rPr>
          <w:rFonts w:ascii="Arial" w:eastAsia="Calibri" w:hAnsi="Arial" w:cs="Arial"/>
        </w:rPr>
        <w:t>4. La conspiración y la proposición para cometer un delito de contrabando de material de defensa, o de material o productos y tecnologías de doble uso serán castigadas con la pena inferior en uno o dos grados a lo que corresponde a este delito.</w:t>
      </w:r>
      <w:r w:rsidRPr="002C7583">
        <w:rPr>
          <w:rFonts w:ascii="Arial" w:eastAsia="Calibri" w:hAnsi="Arial" w:cs="Arial"/>
          <w:color w:val="000000"/>
        </w:rPr>
        <w:t>”</w:t>
      </w:r>
      <w:r w:rsidRPr="002C7583">
        <w:rPr>
          <w:rFonts w:ascii="Arial" w:eastAsia="Calibri" w:hAnsi="Arial" w:cs="Arial"/>
        </w:rPr>
        <w:t xml:space="preserve"> </w:t>
      </w:r>
    </w:p>
    <w:p w14:paraId="0ACA100D"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04D68C62"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35D42DEB"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b/>
          <w:bCs/>
        </w:rPr>
        <w:t>Disposición transitoria primera.</w:t>
      </w:r>
      <w:r w:rsidRPr="002C7583">
        <w:rPr>
          <w:rFonts w:ascii="Arial" w:eastAsia="Calibri" w:hAnsi="Arial" w:cs="Arial"/>
        </w:rPr>
        <w:t xml:space="preserve"> Legislación aplicable.</w:t>
      </w:r>
    </w:p>
    <w:p w14:paraId="27F2718E"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1AFB1E9E"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1. Los delitos cometidos hasta el día de la entrada en vigor de esta Ley se juzgarán conforme a la legislación penal vigente en el momento de su comisión. No obstante lo anterior, se aplicará esta Ley, una vez que entre en vigor, si las disposiciones de la misma son más favorables para el reo, aunque los hechos hubieran sido cometidos con anterioridad a su entrada en vigor.</w:t>
      </w:r>
    </w:p>
    <w:p w14:paraId="2ED2588F"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569C3286"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2. Para la determinación de cuál sea la ley más favorable se tendrá en cuenta la pena que correspondería al hecho enjuiciado con la aplicación de las normas completas del Código en su redacción anterior y con las del Código resultante de la reforma operada por la presente Ley y, en su caso, la posibilidad de imponer medidas de seguridad.</w:t>
      </w:r>
    </w:p>
    <w:p w14:paraId="414B30F2"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7CA18DD3"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 xml:space="preserve">3. En todo caso, será oído el reo. </w:t>
      </w:r>
    </w:p>
    <w:p w14:paraId="5CCAD6A8"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6C99C05F"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b/>
          <w:bCs/>
        </w:rPr>
        <w:t>Disposición transitoria segunda.</w:t>
      </w:r>
      <w:r w:rsidRPr="002C7583">
        <w:rPr>
          <w:rFonts w:ascii="Arial" w:eastAsia="Calibri" w:hAnsi="Arial" w:cs="Arial"/>
        </w:rPr>
        <w:t xml:space="preserve"> Revisión de sentencias.</w:t>
      </w:r>
    </w:p>
    <w:p w14:paraId="6175F871"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05C8F1AD"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1. El Consejo General del Poder Judicial, en el ámbito de las competencias que le atribuye el artículo 98 de la Ley Orgánica 6/1985, de 1 de julio, del Poder Judicial, podrá asignar la revisión de las sentencias firmes dictadas antes de la vigencia de esta Ley a uno o varios de los Juzgados de lo Penal o secciones de las Audiencias Provinciales dedicados en régimen de exclusividad a la ejecución de sentencias penales.</w:t>
      </w:r>
    </w:p>
    <w:p w14:paraId="08EC3F89"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6A4E1B65"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Dichos jueces o tribunales procederán a revisar las sentencias firmes y en las que el penado esté cumpliendo efectivamente la pena, aplicando la disposición más favorable considerada taxativamente y no por el ejercicio del arbitrio judicial. En las penas privativas de libertad no se considerará más favorable esta Ley cuando la duración de la pena anterior impuesta al hecho con sus circunstancias sea también imponible con arreglo a esta reforma del Código. Se exceptúa el supuesto en que esta Ley contenga para el mismo hecho la previsión alternativa de una pena no privativa de libertad; en tal caso, deberá revisarse la sentencia.</w:t>
      </w:r>
    </w:p>
    <w:p w14:paraId="517DED79"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670C177E"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 xml:space="preserve">2. No se revisarán las sentencias en que el cumplimiento de la pena esté suspendido, sin perjuicio de hacerlo en caso de que se revoque la suspensión y antes de proceder al cumplimiento efectivo de la pena suspendida. </w:t>
      </w:r>
    </w:p>
    <w:p w14:paraId="55EE2320"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2BC6611C"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Igual regla se aplicará si el penado se encuentra en período de libertad condicional.</w:t>
      </w:r>
    </w:p>
    <w:p w14:paraId="74884AE2"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2BADA688"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Tampoco se revisarán las sentencias en que, con arreglo a la redacción anterior de los artículos del Código y a la presente reforma, corresponda exclusivamente pena de multa.</w:t>
      </w:r>
    </w:p>
    <w:p w14:paraId="3FDA6E92"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39D0B599"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lastRenderedPageBreak/>
        <w:t>3. No serán revisadas las sentencias en que la pena esté ejecutada o suspendida, aunque se encuentren pendientes de ejecutar otros pronunciamientos del fallo, así como las ya totalmente ejecutadas, sin perjuicio de que el juez o tribunal que en el futuro pudiera tenerlas en cuenta a efectos de reincidencia deba examinar previamente si el hecho en ellas penado ha dejado de ser delito o pudiera corresponderle una pena menor de la impuesta en su día, conforme a esta Ley.</w:t>
      </w:r>
    </w:p>
    <w:p w14:paraId="16D39144"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4D7899A5"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4. En los supuestos de indulto parcial, no se revisarán las sentencias cuando la pena resultante que se halle cumpliendo el condenado se encuentre comprendida en un marco imponible inferior respecto a esta Ley.</w:t>
      </w:r>
    </w:p>
    <w:p w14:paraId="26AB34C5"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11143DA4"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b/>
          <w:bCs/>
        </w:rPr>
        <w:t>Disposición transitoria tercera.</w:t>
      </w:r>
      <w:r w:rsidRPr="002C7583">
        <w:rPr>
          <w:rFonts w:ascii="Arial" w:eastAsia="Calibri" w:hAnsi="Arial" w:cs="Arial"/>
        </w:rPr>
        <w:t xml:space="preserve"> Reglas de invocación de la normativa aplicable en materia de recursos.</w:t>
      </w:r>
    </w:p>
    <w:p w14:paraId="508D6869"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5BEB67F3"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 xml:space="preserve">En las sentencias dictadas conforme a la legislación que se deroga y que no sean firmes por estar pendientes de recurso, se observarán, una vez transcurrido el período de </w:t>
      </w:r>
      <w:proofErr w:type="spellStart"/>
      <w:r w:rsidRPr="002C7583">
        <w:rPr>
          <w:rFonts w:ascii="Arial" w:eastAsia="Calibri" w:hAnsi="Arial" w:cs="Arial"/>
        </w:rPr>
        <w:t>vacatio</w:t>
      </w:r>
      <w:proofErr w:type="spellEnd"/>
      <w:r w:rsidRPr="002C7583">
        <w:rPr>
          <w:rFonts w:ascii="Arial" w:eastAsia="Calibri" w:hAnsi="Arial" w:cs="Arial"/>
        </w:rPr>
        <w:t>, las siguientes reglas:</w:t>
      </w:r>
    </w:p>
    <w:p w14:paraId="70FFAD04"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1B9D6732"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a) Si se trata de un recurso de apelación, las partes podrán invocar y el juez o tribunal aplicará de oficio los preceptos de la nueva Ley, cuando resulten más favorables al reo.</w:t>
      </w:r>
    </w:p>
    <w:p w14:paraId="008C9CA5"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2D621140"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b) Si se trata de un recurso de casación, aún no formalizado, el recurrente podrá señalar las infracciones legales basándose en los preceptos de la nueva Ley.</w:t>
      </w:r>
    </w:p>
    <w:p w14:paraId="263C9DA4"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p>
    <w:p w14:paraId="7E78764D" w14:textId="77777777" w:rsidR="002C7583" w:rsidRPr="002C7583" w:rsidRDefault="002C7583" w:rsidP="002C7583">
      <w:pPr>
        <w:autoSpaceDE w:val="0"/>
        <w:autoSpaceDN w:val="0"/>
        <w:adjustRightInd w:val="0"/>
        <w:spacing w:after="0" w:line="240" w:lineRule="auto"/>
        <w:jc w:val="both"/>
        <w:rPr>
          <w:rFonts w:ascii="Arial" w:eastAsia="Calibri" w:hAnsi="Arial" w:cs="Arial"/>
        </w:rPr>
      </w:pPr>
      <w:r w:rsidRPr="002C7583">
        <w:rPr>
          <w:rFonts w:ascii="Arial" w:eastAsia="Calibri" w:hAnsi="Arial" w:cs="Arial"/>
        </w:rPr>
        <w:t>c) Si, interpuesto recurso de casación, estuviera sustanciándose, se pasará de nuevo al recurrente, de oficio o a instancia de parte, por el término de ocho días, para que adapte, si lo estima procedente, los motivos de casación alegados a los preceptos de la nueva Ley, y del recurso así modificado se instruirán las partes interesadas, el fiscal y el magistrado ponente, continuando la tramitación conforme a derecho.</w:t>
      </w:r>
    </w:p>
    <w:p w14:paraId="6E5F68BC" w14:textId="77777777" w:rsidR="002C7583" w:rsidRPr="002C7583" w:rsidRDefault="002C7583" w:rsidP="002C7583">
      <w:pPr>
        <w:spacing w:after="0" w:line="240" w:lineRule="auto"/>
        <w:jc w:val="both"/>
        <w:rPr>
          <w:rFonts w:ascii="Arial" w:eastAsia="Times New Roman" w:hAnsi="Arial" w:cs="Arial"/>
          <w:b/>
          <w:lang w:eastAsia="es-ES"/>
        </w:rPr>
      </w:pPr>
    </w:p>
    <w:p w14:paraId="5D41E729"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 xml:space="preserve">Disposición Final primera. Modificación de la Ley Orgánica 6/1985, de 1 de julio, del Poder Judicial. </w:t>
      </w:r>
    </w:p>
    <w:p w14:paraId="444DFB44" w14:textId="77777777" w:rsidR="002C7583" w:rsidRPr="002C7583" w:rsidRDefault="002C7583" w:rsidP="002C7583">
      <w:pPr>
        <w:spacing w:after="0" w:line="240" w:lineRule="auto"/>
        <w:jc w:val="both"/>
        <w:rPr>
          <w:rFonts w:ascii="Arial" w:eastAsia="Times New Roman" w:hAnsi="Arial" w:cs="Arial"/>
          <w:lang w:eastAsia="es-ES"/>
        </w:rPr>
      </w:pPr>
    </w:p>
    <w:p w14:paraId="7EAD44B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Se modifica la letra b) y se añade una letra g) en el apartado 1 del artículo 65 de la Ley Orgánica 6/1985, de 1 de julio, del Poder Judicial, que queda redactado como sigue: </w:t>
      </w:r>
    </w:p>
    <w:p w14:paraId="5831A7E6" w14:textId="77777777" w:rsidR="002C7583" w:rsidRPr="002C7583" w:rsidRDefault="002C7583" w:rsidP="002C7583">
      <w:pPr>
        <w:spacing w:after="0" w:line="240" w:lineRule="auto"/>
        <w:jc w:val="both"/>
        <w:rPr>
          <w:rFonts w:ascii="Arial" w:eastAsia="Times New Roman" w:hAnsi="Arial" w:cs="Arial"/>
          <w:lang w:eastAsia="es-ES"/>
        </w:rPr>
      </w:pPr>
    </w:p>
    <w:p w14:paraId="0402FBCC"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“b) Falsificación de moneda y fabricación de tarjetas de crédito y débito falsas y cheques de viajero falsos o cualquier otro instrumento de pago distinto del efectivo, siempre que sean cometidos por organizaciones o grupos criminales.</w:t>
      </w:r>
    </w:p>
    <w:p w14:paraId="01828167" w14:textId="77777777" w:rsidR="002C7583" w:rsidRPr="002C7583" w:rsidRDefault="002C7583" w:rsidP="002C7583">
      <w:pPr>
        <w:spacing w:after="0" w:line="240" w:lineRule="auto"/>
        <w:jc w:val="both"/>
        <w:rPr>
          <w:rFonts w:ascii="Arial" w:eastAsia="Times New Roman" w:hAnsi="Arial" w:cs="Arial"/>
          <w:lang w:eastAsia="es-ES"/>
        </w:rPr>
      </w:pPr>
    </w:p>
    <w:p w14:paraId="06AAFA0E"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 xml:space="preserve">Disposición Final segunda. Modificación de la Ley Orgánica 6/1985, de 1 de julio, del Poder Judicial. </w:t>
      </w:r>
    </w:p>
    <w:p w14:paraId="68478FF3" w14:textId="77777777" w:rsidR="002C7583" w:rsidRPr="002C7583" w:rsidRDefault="002C7583" w:rsidP="002C7583">
      <w:pPr>
        <w:spacing w:after="0" w:line="240" w:lineRule="auto"/>
        <w:jc w:val="both"/>
        <w:rPr>
          <w:rFonts w:ascii="Arial" w:eastAsia="Times New Roman" w:hAnsi="Arial" w:cs="Arial"/>
          <w:b/>
          <w:lang w:eastAsia="es-ES"/>
        </w:rPr>
      </w:pPr>
    </w:p>
    <w:p w14:paraId="1C6A50B4"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Se añade una letra g) en el apartado 1 del artículo 65 de la Ley orgánica 6/1985, de 1 de julio, del Poder Judicial, que queda redactada como sigue:</w:t>
      </w:r>
    </w:p>
    <w:p w14:paraId="35A6C170" w14:textId="77777777" w:rsidR="002C7583" w:rsidRPr="002C7583" w:rsidRDefault="002C7583" w:rsidP="002C7583">
      <w:pPr>
        <w:spacing w:after="0" w:line="240" w:lineRule="auto"/>
        <w:jc w:val="both"/>
        <w:rPr>
          <w:rFonts w:ascii="Arial" w:eastAsia="Times New Roman" w:hAnsi="Arial" w:cs="Arial"/>
          <w:lang w:eastAsia="es-ES"/>
        </w:rPr>
      </w:pPr>
    </w:p>
    <w:p w14:paraId="5957BA6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lastRenderedPageBreak/>
        <w:t>“g) Delitos de contrabando de material de defensa, de otros materiales y de productos y tecnología de doble uso.”</w:t>
      </w:r>
    </w:p>
    <w:p w14:paraId="1597F883" w14:textId="77777777" w:rsidR="002C7583" w:rsidRPr="002C7583" w:rsidRDefault="002C7583" w:rsidP="002C7583">
      <w:pPr>
        <w:spacing w:after="0" w:line="240" w:lineRule="auto"/>
        <w:jc w:val="both"/>
        <w:rPr>
          <w:rFonts w:ascii="Arial" w:eastAsia="Times New Roman" w:hAnsi="Arial" w:cs="Arial"/>
          <w:lang w:eastAsia="es-ES"/>
        </w:rPr>
      </w:pPr>
    </w:p>
    <w:p w14:paraId="0225784F" w14:textId="77777777" w:rsidR="002C7583" w:rsidRPr="002C7583" w:rsidRDefault="002C7583" w:rsidP="002C7583">
      <w:pPr>
        <w:spacing w:after="0" w:line="240" w:lineRule="auto"/>
        <w:jc w:val="both"/>
        <w:rPr>
          <w:rFonts w:ascii="Arial" w:eastAsia="Times New Roman" w:hAnsi="Arial" w:cs="Arial"/>
          <w:lang w:eastAsia="es-ES"/>
        </w:rPr>
      </w:pPr>
    </w:p>
    <w:p w14:paraId="72852372"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 xml:space="preserve">Disposición final tercera. Naturaleza de la ley. </w:t>
      </w:r>
    </w:p>
    <w:p w14:paraId="78ADC7D2" w14:textId="77777777" w:rsidR="002C7583" w:rsidRPr="002C7583" w:rsidRDefault="002C7583" w:rsidP="002C7583">
      <w:pPr>
        <w:spacing w:after="0" w:line="240" w:lineRule="auto"/>
        <w:jc w:val="both"/>
        <w:rPr>
          <w:rFonts w:ascii="Arial" w:eastAsia="Times New Roman" w:hAnsi="Arial" w:cs="Arial"/>
          <w:lang w:eastAsia="es-ES"/>
        </w:rPr>
      </w:pPr>
    </w:p>
    <w:p w14:paraId="3DD7BA5A"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Esta ley tiene carácter de ley orgánica.</w:t>
      </w:r>
    </w:p>
    <w:p w14:paraId="1814DA4D" w14:textId="77777777" w:rsidR="002C7583" w:rsidRPr="002C7583" w:rsidRDefault="002C7583" w:rsidP="002C7583">
      <w:pPr>
        <w:spacing w:after="0" w:line="240" w:lineRule="auto"/>
        <w:jc w:val="both"/>
        <w:rPr>
          <w:rFonts w:ascii="Arial" w:eastAsia="Times New Roman" w:hAnsi="Arial" w:cs="Arial"/>
          <w:lang w:eastAsia="es-ES"/>
        </w:rPr>
      </w:pPr>
    </w:p>
    <w:p w14:paraId="73077A03" w14:textId="77777777" w:rsidR="002C7583" w:rsidRPr="002C7583" w:rsidRDefault="002C7583" w:rsidP="002C7583">
      <w:pPr>
        <w:spacing w:after="0" w:line="240" w:lineRule="auto"/>
        <w:jc w:val="both"/>
        <w:rPr>
          <w:rFonts w:ascii="Arial" w:eastAsia="Times New Roman" w:hAnsi="Arial" w:cs="Arial"/>
          <w:lang w:eastAsia="es-ES"/>
        </w:rPr>
      </w:pPr>
    </w:p>
    <w:p w14:paraId="00E0AE38"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 xml:space="preserve">Disposición final cuarta. Títulos competenciales. </w:t>
      </w:r>
    </w:p>
    <w:p w14:paraId="468847D3" w14:textId="77777777" w:rsidR="002C7583" w:rsidRPr="002C7583" w:rsidRDefault="002C7583" w:rsidP="002C7583">
      <w:pPr>
        <w:spacing w:after="0" w:line="240" w:lineRule="auto"/>
        <w:jc w:val="both"/>
        <w:rPr>
          <w:rFonts w:ascii="Arial" w:eastAsia="Times New Roman" w:hAnsi="Arial" w:cs="Arial"/>
          <w:lang w:eastAsia="es-ES"/>
        </w:rPr>
      </w:pPr>
    </w:p>
    <w:p w14:paraId="75384D4E"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El artículo primero, que modifica la Ley Orgánica 10/1995, de 23 de noviembre, del Código Penal, se dicta al amparo del artículo 149.1. 6.ª de la Constitución Española, que atribuye al Estado la competencia exclusiva en materia de legislación penal.</w:t>
      </w:r>
    </w:p>
    <w:p w14:paraId="0BFAA4F9" w14:textId="77777777" w:rsidR="002C7583" w:rsidRPr="002C7583" w:rsidRDefault="002C7583" w:rsidP="002C7583">
      <w:pPr>
        <w:spacing w:after="0" w:line="240" w:lineRule="auto"/>
        <w:jc w:val="both"/>
        <w:rPr>
          <w:rFonts w:ascii="Arial" w:eastAsia="Times New Roman" w:hAnsi="Arial" w:cs="Arial"/>
          <w:lang w:eastAsia="es-ES"/>
        </w:rPr>
      </w:pPr>
    </w:p>
    <w:p w14:paraId="29978CD8"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t xml:space="preserve">Disposición final quinta. Incorporación de Derecho de la Unión Europea. </w:t>
      </w:r>
    </w:p>
    <w:p w14:paraId="360310A3" w14:textId="77777777" w:rsidR="002C7583" w:rsidRPr="002C7583" w:rsidRDefault="002C7583" w:rsidP="002C7583">
      <w:pPr>
        <w:spacing w:after="0" w:line="240" w:lineRule="auto"/>
        <w:jc w:val="both"/>
        <w:rPr>
          <w:rFonts w:ascii="Arial" w:eastAsia="Times New Roman" w:hAnsi="Arial" w:cs="Arial"/>
          <w:lang w:eastAsia="es-ES"/>
        </w:rPr>
      </w:pPr>
    </w:p>
    <w:p w14:paraId="2EA212B6"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Mediante esta ley orgánica se incorporan al Derecho español la Directiva (UE) 2019/713, de 17 de abril de 2019, sobre la lucha contra el fraude y la falsificación de medios de pago distintos del efectivo. También se completa la transposición al Derecho español de la Directiva 2014/57/UE del Parlamento Europeo y del Consejo, de 16 de abril de 2014, sobre las sanciones penales aplicables al abuso de mercado y de la Directiva (UE) 2019/1 del Parlamento Europeo y del Consejo de 11 de diciembre de 2018 encaminada a dotar a las autoridades de competencia de los Estados miembros de medios para aplicar más eficazmente las normas sobre competencia y garantizar el correcto funcionamiento del mercado interior. </w:t>
      </w:r>
    </w:p>
    <w:p w14:paraId="1AB48D43" w14:textId="77777777" w:rsidR="002C7583" w:rsidRPr="002C7583" w:rsidRDefault="002C7583" w:rsidP="002C7583">
      <w:pPr>
        <w:spacing w:after="0" w:line="240" w:lineRule="auto"/>
        <w:jc w:val="both"/>
        <w:rPr>
          <w:rFonts w:ascii="Arial" w:eastAsia="Times New Roman" w:hAnsi="Arial" w:cs="Arial"/>
          <w:lang w:eastAsia="es-ES"/>
        </w:rPr>
      </w:pPr>
    </w:p>
    <w:p w14:paraId="1B9BFF36" w14:textId="77777777" w:rsidR="002C7583" w:rsidRPr="002C7583" w:rsidRDefault="002C7583" w:rsidP="002C7583">
      <w:pPr>
        <w:spacing w:after="0" w:line="240" w:lineRule="auto"/>
        <w:jc w:val="both"/>
        <w:rPr>
          <w:rFonts w:ascii="Arial" w:eastAsia="Times New Roman" w:hAnsi="Arial" w:cs="Arial"/>
          <w:b/>
          <w:bCs/>
          <w:lang w:eastAsia="es-ES"/>
        </w:rPr>
      </w:pPr>
      <w:r w:rsidRPr="002C7583">
        <w:rPr>
          <w:rFonts w:ascii="Arial" w:eastAsia="Times New Roman" w:hAnsi="Arial" w:cs="Arial"/>
          <w:b/>
          <w:bCs/>
          <w:lang w:eastAsia="es-ES"/>
        </w:rPr>
        <w:t xml:space="preserve">Disposición final sexta. Entrada en vigor. </w:t>
      </w:r>
    </w:p>
    <w:p w14:paraId="4A9A731D" w14:textId="77777777" w:rsidR="002C7583" w:rsidRPr="002C7583" w:rsidRDefault="002C7583" w:rsidP="002C7583">
      <w:pPr>
        <w:spacing w:after="0" w:line="240" w:lineRule="auto"/>
        <w:jc w:val="both"/>
        <w:rPr>
          <w:rFonts w:ascii="Arial" w:eastAsia="Times New Roman" w:hAnsi="Arial" w:cs="Arial"/>
          <w:lang w:eastAsia="es-ES"/>
        </w:rPr>
      </w:pPr>
    </w:p>
    <w:p w14:paraId="223EF7BA" w14:textId="77777777" w:rsidR="002C7583" w:rsidRPr="002C7583" w:rsidRDefault="002C7583" w:rsidP="002C7583">
      <w:pPr>
        <w:spacing w:after="0" w:line="240" w:lineRule="auto"/>
        <w:jc w:val="both"/>
        <w:rPr>
          <w:rFonts w:ascii="Arial" w:eastAsia="Times New Roman" w:hAnsi="Arial" w:cs="Arial"/>
          <w:lang w:eastAsia="es-ES"/>
        </w:rPr>
      </w:pPr>
      <w:r w:rsidRPr="002C7583">
        <w:rPr>
          <w:rFonts w:ascii="Arial" w:eastAsia="Times New Roman" w:hAnsi="Arial" w:cs="Arial"/>
          <w:lang w:eastAsia="es-ES"/>
        </w:rPr>
        <w:t xml:space="preserve">Esta Ley Orgánica entrará en vigor a los veinte días de su publicación en el Boletín Oficial del Estado. </w:t>
      </w:r>
    </w:p>
    <w:p w14:paraId="64B26C64" w14:textId="77777777" w:rsidR="002C7583" w:rsidRPr="002C7583" w:rsidRDefault="002C7583" w:rsidP="002C7583">
      <w:pPr>
        <w:spacing w:after="0" w:line="240" w:lineRule="auto"/>
        <w:jc w:val="both"/>
        <w:rPr>
          <w:rFonts w:ascii="Arial" w:eastAsia="Times New Roman" w:hAnsi="Arial" w:cs="Arial"/>
          <w:lang w:eastAsia="es-ES"/>
        </w:rPr>
      </w:pPr>
    </w:p>
    <w:p w14:paraId="2BF51FA8" w14:textId="77777777" w:rsidR="002C7583" w:rsidRPr="002C7583" w:rsidRDefault="002C7583" w:rsidP="002C7583">
      <w:pPr>
        <w:spacing w:after="0" w:line="240" w:lineRule="auto"/>
        <w:jc w:val="both"/>
        <w:rPr>
          <w:rFonts w:ascii="Arial" w:eastAsia="Times New Roman" w:hAnsi="Arial" w:cs="Arial"/>
          <w:lang w:eastAsia="es-ES"/>
        </w:rPr>
      </w:pPr>
    </w:p>
    <w:p w14:paraId="75CC3603" w14:textId="77777777" w:rsidR="002C7583" w:rsidRPr="002C7583" w:rsidRDefault="002C7583" w:rsidP="002C7583">
      <w:pPr>
        <w:spacing w:after="0" w:line="240" w:lineRule="auto"/>
        <w:jc w:val="both"/>
        <w:rPr>
          <w:rFonts w:ascii="Arial" w:eastAsia="Times New Roman" w:hAnsi="Arial" w:cs="Arial"/>
          <w:lang w:eastAsia="es-ES"/>
        </w:rPr>
      </w:pPr>
    </w:p>
    <w:p w14:paraId="364103F5" w14:textId="77777777" w:rsidR="002C7583" w:rsidRPr="002C7583" w:rsidRDefault="002C7583" w:rsidP="002C7583">
      <w:pPr>
        <w:spacing w:after="0" w:line="240" w:lineRule="auto"/>
        <w:jc w:val="both"/>
        <w:rPr>
          <w:rFonts w:ascii="Arial" w:eastAsia="Times New Roman" w:hAnsi="Arial" w:cs="Arial"/>
          <w:b/>
          <w:u w:val="single"/>
          <w:lang w:eastAsia="es-ES"/>
        </w:rPr>
      </w:pPr>
    </w:p>
    <w:p w14:paraId="77419303" w14:textId="77777777" w:rsidR="002C7583" w:rsidRPr="002C7583" w:rsidRDefault="002C7583" w:rsidP="002C7583">
      <w:pPr>
        <w:rPr>
          <w:rFonts w:ascii="Arial" w:eastAsia="Times New Roman" w:hAnsi="Arial" w:cs="Arial"/>
          <w:b/>
          <w:u w:val="single"/>
          <w:lang w:eastAsia="es-ES"/>
        </w:rPr>
      </w:pPr>
      <w:r w:rsidRPr="002C7583">
        <w:rPr>
          <w:rFonts w:ascii="Arial" w:eastAsia="Times New Roman" w:hAnsi="Arial" w:cs="Arial"/>
          <w:b/>
          <w:u w:val="single"/>
          <w:lang w:eastAsia="es-ES"/>
        </w:rPr>
        <w:br w:type="page"/>
      </w:r>
    </w:p>
    <w:p w14:paraId="29B1BF18" w14:textId="77777777" w:rsidR="002C7583" w:rsidRPr="002C7583" w:rsidRDefault="002C7583" w:rsidP="002C7583">
      <w:pPr>
        <w:spacing w:after="0" w:line="240" w:lineRule="auto"/>
        <w:jc w:val="both"/>
        <w:rPr>
          <w:rFonts w:ascii="Arial" w:eastAsia="Times New Roman" w:hAnsi="Arial" w:cs="Arial"/>
          <w:b/>
          <w:lang w:eastAsia="es-ES"/>
        </w:rPr>
      </w:pPr>
      <w:r w:rsidRPr="002C7583">
        <w:rPr>
          <w:rFonts w:ascii="Arial" w:eastAsia="Times New Roman" w:hAnsi="Arial" w:cs="Arial"/>
          <w:b/>
          <w:lang w:eastAsia="es-ES"/>
        </w:rPr>
        <w:lastRenderedPageBreak/>
        <w:t>ANTECEDENTES</w:t>
      </w:r>
    </w:p>
    <w:p w14:paraId="22FCCFDE" w14:textId="77777777" w:rsidR="002C7583" w:rsidRPr="002C7583" w:rsidRDefault="002C7583" w:rsidP="002C7583">
      <w:pPr>
        <w:spacing w:after="0" w:line="240" w:lineRule="auto"/>
        <w:jc w:val="both"/>
        <w:rPr>
          <w:rFonts w:ascii="Arial" w:eastAsia="Times New Roman" w:hAnsi="Arial" w:cs="Arial"/>
          <w:b/>
          <w:u w:val="single"/>
          <w:lang w:eastAsia="es-ES"/>
        </w:rPr>
      </w:pPr>
    </w:p>
    <w:p w14:paraId="57BF2A73" w14:textId="77777777" w:rsidR="002C7583" w:rsidRPr="002C7583" w:rsidRDefault="002C7583" w:rsidP="002C7583">
      <w:pPr>
        <w:spacing w:after="0" w:line="240" w:lineRule="auto"/>
        <w:jc w:val="both"/>
        <w:rPr>
          <w:rFonts w:ascii="Arial" w:eastAsia="Times New Roman" w:hAnsi="Arial" w:cs="Arial"/>
          <w:bCs/>
          <w:lang w:eastAsia="es-ES"/>
        </w:rPr>
      </w:pPr>
      <w:r w:rsidRPr="002C7583">
        <w:rPr>
          <w:rFonts w:ascii="Arial" w:eastAsia="Times New Roman" w:hAnsi="Arial" w:cs="Arial"/>
          <w:bCs/>
          <w:lang w:eastAsia="es-ES"/>
        </w:rPr>
        <w:t>- Ley Orgánica 10/1995, de 23 de noviembre, del Código Penal.</w:t>
      </w:r>
    </w:p>
    <w:p w14:paraId="7B46AB8F" w14:textId="77777777" w:rsidR="002C7583" w:rsidRPr="002C7583" w:rsidRDefault="002C7583" w:rsidP="00986B73">
      <w:pPr>
        <w:spacing w:line="360" w:lineRule="auto"/>
        <w:jc w:val="both"/>
        <w:rPr>
          <w:rFonts w:ascii="Arial" w:hAnsi="Arial" w:cs="Arial"/>
        </w:rPr>
      </w:pPr>
    </w:p>
    <w:sectPr w:rsidR="002C7583" w:rsidRPr="002C7583" w:rsidSect="00C84D17">
      <w:headerReference w:type="default" r:id="rId7"/>
      <w:pgSz w:w="11906" w:h="16838"/>
      <w:pgMar w:top="3119"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8BD7" w14:textId="77777777" w:rsidR="000736BC" w:rsidRDefault="000736BC" w:rsidP="00230C45">
      <w:pPr>
        <w:spacing w:after="0" w:line="240" w:lineRule="auto"/>
      </w:pPr>
      <w:r>
        <w:separator/>
      </w:r>
    </w:p>
  </w:endnote>
  <w:endnote w:type="continuationSeparator" w:id="0">
    <w:p w14:paraId="46194049" w14:textId="77777777" w:rsidR="000736BC" w:rsidRDefault="000736BC" w:rsidP="0023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C742" w14:textId="77777777" w:rsidR="000736BC" w:rsidRDefault="000736BC" w:rsidP="00230C45">
      <w:pPr>
        <w:spacing w:after="0" w:line="240" w:lineRule="auto"/>
      </w:pPr>
      <w:r>
        <w:separator/>
      </w:r>
    </w:p>
  </w:footnote>
  <w:footnote w:type="continuationSeparator" w:id="0">
    <w:p w14:paraId="74AC9455" w14:textId="77777777" w:rsidR="000736BC" w:rsidRDefault="000736BC" w:rsidP="0023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6463" w14:textId="77777777" w:rsidR="00230C45" w:rsidRPr="0007130F" w:rsidRDefault="00230C45" w:rsidP="00230C45">
    <w:pPr>
      <w:pStyle w:val="Encabezado"/>
      <w:rPr>
        <w:lang w:val="es-ES_tradnl"/>
      </w:rPr>
    </w:pPr>
    <w:r>
      <w:rPr>
        <w:noProof/>
      </w:rPr>
      <w:drawing>
        <wp:inline distT="0" distB="0" distL="0" distR="0" wp14:anchorId="06821861" wp14:editId="47EE04E6">
          <wp:extent cx="1771650" cy="908033"/>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179" b="14018"/>
                  <a:stretch/>
                </pic:blipFill>
                <pic:spPr bwMode="auto">
                  <a:xfrm>
                    <a:off x="0" y="0"/>
                    <a:ext cx="1798861" cy="921979"/>
                  </a:xfrm>
                  <a:prstGeom prst="rect">
                    <a:avLst/>
                  </a:prstGeom>
                  <a:noFill/>
                  <a:ln>
                    <a:noFill/>
                  </a:ln>
                  <a:extLst>
                    <a:ext uri="{53640926-AAD7-44D8-BBD7-CCE9431645EC}">
                      <a14:shadowObscured xmlns:a14="http://schemas.microsoft.com/office/drawing/2010/main"/>
                    </a:ext>
                  </a:extLst>
                </pic:spPr>
              </pic:pic>
            </a:graphicData>
          </a:graphic>
        </wp:inline>
      </w:drawing>
    </w:r>
    <w:r>
      <w:rPr>
        <w:lang w:val="es-ES_tradnl"/>
      </w:rPr>
      <w:t xml:space="preserve">                                                         </w:t>
    </w:r>
    <w:r w:rsidRPr="001027AF">
      <w:rPr>
        <w:noProof/>
        <w:lang w:eastAsia="es-ES"/>
      </w:rPr>
      <w:drawing>
        <wp:inline distT="0" distB="0" distL="0" distR="0" wp14:anchorId="113EC639" wp14:editId="304723F1">
          <wp:extent cx="1710092" cy="962660"/>
          <wp:effectExtent l="0" t="0" r="4445" b="0"/>
          <wp:docPr id="9" name="Imagen 9" descr="Z:\GABINETE TECNICO\COMITÉ PERMANENTE\XIV LEGISLATURA 2019-2023\INICIATIVAS\PPL CONJUNTA CON UP\logo_gp_2019-sin equ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ABINETE TECNICO\COMITÉ PERMANENTE\XIV LEGISLATURA 2019-2023\INICIATIVAS\PPL CONJUNTA CON UP\logo_gp_2019-sin equ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1291" cy="968964"/>
                  </a:xfrm>
                  <a:prstGeom prst="rect">
                    <a:avLst/>
                  </a:prstGeom>
                  <a:noFill/>
                  <a:ln>
                    <a:noFill/>
                  </a:ln>
                </pic:spPr>
              </pic:pic>
            </a:graphicData>
          </a:graphic>
        </wp:inline>
      </w:drawing>
    </w:r>
  </w:p>
  <w:p w14:paraId="70AF0C91" w14:textId="77777777" w:rsidR="00230C45" w:rsidRDefault="00230C45" w:rsidP="00230C45">
    <w:pPr>
      <w:pStyle w:val="Encabezado"/>
    </w:pPr>
  </w:p>
  <w:p w14:paraId="3ECABB42" w14:textId="77777777" w:rsidR="00230C45" w:rsidRDefault="00230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2625F"/>
    <w:multiLevelType w:val="hybridMultilevel"/>
    <w:tmpl w:val="37C278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B77C2C"/>
    <w:multiLevelType w:val="hybridMultilevel"/>
    <w:tmpl w:val="37C278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17"/>
    <w:rsid w:val="000736BC"/>
    <w:rsid w:val="000E3861"/>
    <w:rsid w:val="00230C45"/>
    <w:rsid w:val="002C609F"/>
    <w:rsid w:val="002C7583"/>
    <w:rsid w:val="006428C5"/>
    <w:rsid w:val="007C4721"/>
    <w:rsid w:val="007E522E"/>
    <w:rsid w:val="00865C17"/>
    <w:rsid w:val="008F505E"/>
    <w:rsid w:val="00986B73"/>
    <w:rsid w:val="00A16937"/>
    <w:rsid w:val="00AF55CD"/>
    <w:rsid w:val="00C219C7"/>
    <w:rsid w:val="00C84D17"/>
    <w:rsid w:val="00CD097B"/>
    <w:rsid w:val="00CF3BFF"/>
    <w:rsid w:val="00D264BE"/>
    <w:rsid w:val="00DF25CB"/>
    <w:rsid w:val="00E25407"/>
    <w:rsid w:val="00EA442B"/>
    <w:rsid w:val="00F94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B4CE"/>
  <w15:chartTrackingRefBased/>
  <w15:docId w15:val="{6527B5A3-BF33-4EB3-9054-45DBBCC3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C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0C45"/>
  </w:style>
  <w:style w:type="paragraph" w:styleId="Piedepgina">
    <w:name w:val="footer"/>
    <w:basedOn w:val="Normal"/>
    <w:link w:val="PiedepginaCar"/>
    <w:uiPriority w:val="99"/>
    <w:unhideWhenUsed/>
    <w:rsid w:val="00230C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22</Pages>
  <Words>8762</Words>
  <Characters>48194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Congreso de los Diputados</Company>
  <LinksUpToDate>false</LinksUpToDate>
  <CharactersWithSpaces>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Dueñas Romero</dc:creator>
  <cp:keywords/>
  <dc:description/>
  <cp:lastModifiedBy>Luis Guillermo Tapia Martínez</cp:lastModifiedBy>
  <cp:revision>4</cp:revision>
  <cp:lastPrinted>2022-08-24T10:48:00Z</cp:lastPrinted>
  <dcterms:created xsi:type="dcterms:W3CDTF">2022-11-10T16:30:00Z</dcterms:created>
  <dcterms:modified xsi:type="dcterms:W3CDTF">2022-11-11T08:05:00Z</dcterms:modified>
</cp:coreProperties>
</file>